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570" w:rsidRPr="001B3811" w:rsidRDefault="00A17570" w:rsidP="00A17570">
      <w:pPr>
        <w:pStyle w:val="a9"/>
        <w:spacing w:line="360" w:lineRule="auto"/>
        <w:jc w:val="center"/>
        <w:rPr>
          <w:rFonts w:ascii="Times New Roman" w:eastAsia="標楷體" w:hAnsi="Times New Roman"/>
          <w:b/>
          <w:sz w:val="28"/>
          <w:szCs w:val="28"/>
        </w:rPr>
      </w:pPr>
      <w:bookmarkStart w:id="0" w:name="_GoBack"/>
      <w:bookmarkEnd w:id="0"/>
      <w:r w:rsidRPr="001B3811">
        <w:rPr>
          <w:rFonts w:ascii="Times New Roman" w:eastAsia="標楷體" w:hAnsi="Times New Roman" w:hint="eastAsia"/>
          <w:b/>
          <w:sz w:val="28"/>
          <w:szCs w:val="28"/>
        </w:rPr>
        <w:t xml:space="preserve">Contract for </w:t>
      </w:r>
      <w:r w:rsidR="00374061">
        <w:rPr>
          <w:rFonts w:ascii="Times New Roman" w:eastAsia="標楷體" w:hAnsi="Times New Roman" w:hint="eastAsia"/>
          <w:b/>
          <w:sz w:val="28"/>
          <w:szCs w:val="28"/>
        </w:rPr>
        <w:t xml:space="preserve">the </w:t>
      </w:r>
      <w:r w:rsidR="00AB732E">
        <w:rPr>
          <w:rFonts w:ascii="Times New Roman" w:eastAsia="標楷體" w:hAnsi="Times New Roman" w:hint="eastAsia"/>
          <w:b/>
          <w:sz w:val="28"/>
          <w:szCs w:val="28"/>
        </w:rPr>
        <w:t>Trad</w:t>
      </w:r>
      <w:r w:rsidR="005A65E5">
        <w:rPr>
          <w:rFonts w:ascii="Times New Roman" w:eastAsia="標楷體" w:hAnsi="Times New Roman" w:hint="eastAsia"/>
          <w:b/>
          <w:sz w:val="28"/>
          <w:szCs w:val="28"/>
        </w:rPr>
        <w:t>ing</w:t>
      </w:r>
      <w:r w:rsidRPr="001B3811">
        <w:rPr>
          <w:rFonts w:ascii="Times New Roman" w:eastAsia="標楷體" w:hAnsi="Times New Roman" w:hint="eastAsia"/>
          <w:b/>
          <w:sz w:val="28"/>
          <w:szCs w:val="28"/>
        </w:rPr>
        <w:t xml:space="preserve"> of</w:t>
      </w:r>
      <w:r w:rsidR="00AB732E">
        <w:rPr>
          <w:rFonts w:ascii="Times New Roman" w:eastAsia="標楷體" w:hAnsi="Times New Roman" w:hint="eastAsia"/>
          <w:b/>
          <w:sz w:val="28"/>
          <w:szCs w:val="28"/>
        </w:rPr>
        <w:t xml:space="preserve"> New Taiwan Dollar Denomina</w:t>
      </w:r>
      <w:r w:rsidR="00AB732E" w:rsidRPr="00D2712F">
        <w:rPr>
          <w:rFonts w:ascii="Times New Roman" w:eastAsia="標楷體" w:hAnsi="Times New Roman" w:hint="eastAsia"/>
          <w:b/>
          <w:sz w:val="28"/>
          <w:szCs w:val="28"/>
        </w:rPr>
        <w:t>ted</w:t>
      </w:r>
      <w:r w:rsidRPr="00D2712F">
        <w:rPr>
          <w:rFonts w:ascii="Times New Roman" w:eastAsia="標楷體" w:hAnsi="Times New Roman" w:hint="eastAsia"/>
          <w:b/>
          <w:sz w:val="28"/>
          <w:szCs w:val="28"/>
        </w:rPr>
        <w:t xml:space="preserve"> </w:t>
      </w:r>
      <w:r w:rsidR="00E8676B" w:rsidRPr="00625BFB">
        <w:rPr>
          <w:rFonts w:ascii="Times New Roman" w:eastAsia="標楷體" w:hAnsi="Times New Roman"/>
          <w:b/>
          <w:sz w:val="28"/>
          <w:szCs w:val="28"/>
        </w:rPr>
        <w:t>Foreign</w:t>
      </w:r>
      <w:r w:rsidRPr="00D2712F">
        <w:rPr>
          <w:rFonts w:ascii="Times New Roman" w:eastAsia="標楷體" w:hAnsi="Times New Roman" w:hint="eastAsia"/>
          <w:b/>
          <w:sz w:val="28"/>
          <w:szCs w:val="28"/>
        </w:rPr>
        <w:t xml:space="preserve"> Bonds </w:t>
      </w:r>
      <w:r w:rsidRPr="001B3811">
        <w:rPr>
          <w:rFonts w:ascii="Times New Roman" w:eastAsia="標楷體" w:hAnsi="Times New Roman" w:hint="eastAsia"/>
          <w:b/>
          <w:sz w:val="28"/>
          <w:szCs w:val="28"/>
        </w:rPr>
        <w:t xml:space="preserve">on the </w:t>
      </w:r>
      <w:r w:rsidRPr="00E1275F">
        <w:rPr>
          <w:rFonts w:ascii="Times New Roman" w:eastAsia="標楷體" w:hAnsi="Times New Roman"/>
          <w:b/>
          <w:sz w:val="28"/>
          <w:szCs w:val="28"/>
        </w:rPr>
        <w:t>Taipei Exchange</w:t>
      </w:r>
    </w:p>
    <w:p w:rsidR="00A17570" w:rsidRPr="00584CAA" w:rsidRDefault="00A17570" w:rsidP="00A17570">
      <w:pPr>
        <w:pStyle w:val="a9"/>
        <w:adjustRightInd w:val="0"/>
        <w:snapToGrid w:val="0"/>
        <w:spacing w:line="380" w:lineRule="exact"/>
        <w:ind w:left="11" w:firstLine="469"/>
        <w:jc w:val="both"/>
        <w:rPr>
          <w:rFonts w:ascii="Times New Roman" w:eastAsia="標楷體" w:hAnsi="Times New Roman"/>
          <w:sz w:val="18"/>
          <w:szCs w:val="18"/>
        </w:rPr>
      </w:pPr>
      <w:r w:rsidRPr="00584CAA">
        <w:rPr>
          <w:rFonts w:ascii="Arial" w:hAnsi="Arial" w:cs="Arial"/>
          <w:sz w:val="18"/>
          <w:szCs w:val="18"/>
        </w:rPr>
        <w:t> ________________ Co., Ltd.</w:t>
      </w:r>
      <w:r w:rsidR="00AB732E">
        <w:rPr>
          <w:rFonts w:ascii="Arial" w:hAnsi="Arial" w:cs="Arial" w:hint="eastAsia"/>
          <w:sz w:val="18"/>
          <w:szCs w:val="18"/>
        </w:rPr>
        <w:t xml:space="preserve"> (</w:t>
      </w:r>
      <w:r w:rsidRPr="00584CAA">
        <w:rPr>
          <w:rFonts w:ascii="Arial" w:hAnsi="Arial" w:cs="Arial"/>
          <w:sz w:val="18"/>
          <w:szCs w:val="18"/>
        </w:rPr>
        <w:t xml:space="preserve">hereinafter </w:t>
      </w:r>
      <w:r w:rsidR="00AB732E">
        <w:rPr>
          <w:rFonts w:ascii="Arial" w:hAnsi="Arial" w:cs="Arial"/>
          <w:sz w:val="18"/>
          <w:szCs w:val="18"/>
        </w:rPr>
        <w:t>“</w:t>
      </w:r>
      <w:r w:rsidRPr="00584CAA">
        <w:rPr>
          <w:rFonts w:ascii="Arial" w:hAnsi="Arial" w:cs="Arial"/>
          <w:sz w:val="18"/>
          <w:szCs w:val="18"/>
        </w:rPr>
        <w:t>the Issuer</w:t>
      </w:r>
      <w:r w:rsidR="00AB732E">
        <w:rPr>
          <w:rFonts w:ascii="Arial" w:hAnsi="Arial" w:cs="Arial"/>
          <w:sz w:val="18"/>
          <w:szCs w:val="18"/>
        </w:rPr>
        <w:t>”</w:t>
      </w:r>
      <w:r w:rsidR="00AB732E">
        <w:rPr>
          <w:rFonts w:ascii="Arial" w:hAnsi="Arial" w:cs="Arial" w:hint="eastAsia"/>
          <w:sz w:val="18"/>
          <w:szCs w:val="18"/>
        </w:rPr>
        <w:t>)</w:t>
      </w:r>
      <w:r w:rsidRPr="00584CAA">
        <w:rPr>
          <w:rFonts w:ascii="Arial" w:hAnsi="Arial" w:cs="Arial"/>
          <w:sz w:val="18"/>
          <w:szCs w:val="18"/>
        </w:rPr>
        <w:t>,</w:t>
      </w:r>
      <w:r w:rsidR="00AB732E">
        <w:rPr>
          <w:rFonts w:ascii="Arial" w:hAnsi="Arial" w:cs="Arial" w:hint="eastAsia"/>
          <w:sz w:val="18"/>
          <w:szCs w:val="18"/>
        </w:rPr>
        <w:t xml:space="preserve"> and the agen</w:t>
      </w:r>
      <w:r w:rsidR="0025101D">
        <w:rPr>
          <w:rFonts w:ascii="Arial" w:hAnsi="Arial" w:cs="Arial" w:hint="eastAsia"/>
          <w:sz w:val="18"/>
          <w:szCs w:val="18"/>
        </w:rPr>
        <w:t>t</w:t>
      </w:r>
      <w:r w:rsidR="00AB732E">
        <w:rPr>
          <w:rFonts w:ascii="Arial" w:hAnsi="Arial" w:cs="Arial" w:hint="eastAsia"/>
          <w:sz w:val="18"/>
          <w:szCs w:val="18"/>
        </w:rPr>
        <w:t xml:space="preserve"> </w:t>
      </w:r>
      <w:r w:rsidR="00BD1C33">
        <w:rPr>
          <w:rFonts w:ascii="Arial" w:hAnsi="Arial" w:cs="Arial" w:hint="eastAsia"/>
          <w:sz w:val="18"/>
          <w:szCs w:val="18"/>
        </w:rPr>
        <w:t xml:space="preserve">institution </w:t>
      </w:r>
      <w:r w:rsidR="00AB732E">
        <w:rPr>
          <w:rFonts w:ascii="Arial" w:hAnsi="Arial" w:cs="Arial" w:hint="eastAsia"/>
          <w:sz w:val="18"/>
          <w:szCs w:val="18"/>
        </w:rPr>
        <w:t xml:space="preserve">that </w:t>
      </w:r>
      <w:r w:rsidR="0025101D">
        <w:rPr>
          <w:rFonts w:ascii="Arial" w:hAnsi="Arial" w:cs="Arial" w:hint="eastAsia"/>
          <w:sz w:val="18"/>
          <w:szCs w:val="18"/>
        </w:rPr>
        <w:t>it has authorized</w:t>
      </w:r>
      <w:r w:rsidR="00AB732E">
        <w:rPr>
          <w:rFonts w:ascii="Arial" w:hAnsi="Arial" w:cs="Arial" w:hint="eastAsia"/>
          <w:sz w:val="18"/>
          <w:szCs w:val="18"/>
        </w:rPr>
        <w:t xml:space="preserve"> (hereinafter </w:t>
      </w:r>
      <w:r w:rsidR="00374061">
        <w:rPr>
          <w:rFonts w:ascii="Arial" w:hAnsi="Arial" w:cs="Arial" w:hint="eastAsia"/>
          <w:sz w:val="18"/>
          <w:szCs w:val="18"/>
        </w:rPr>
        <w:t xml:space="preserve">the </w:t>
      </w:r>
      <w:r w:rsidR="00AB732E">
        <w:rPr>
          <w:rFonts w:ascii="Arial" w:hAnsi="Arial" w:cs="Arial"/>
          <w:sz w:val="18"/>
          <w:szCs w:val="18"/>
        </w:rPr>
        <w:t>“</w:t>
      </w:r>
      <w:r w:rsidR="005957BC">
        <w:rPr>
          <w:rFonts w:ascii="Arial" w:hAnsi="Arial" w:cs="Arial" w:hint="eastAsia"/>
          <w:sz w:val="18"/>
          <w:szCs w:val="18"/>
        </w:rPr>
        <w:t>A</w:t>
      </w:r>
      <w:r w:rsidR="00AB732E">
        <w:rPr>
          <w:rFonts w:ascii="Arial" w:hAnsi="Arial" w:cs="Arial" w:hint="eastAsia"/>
          <w:sz w:val="18"/>
          <w:szCs w:val="18"/>
        </w:rPr>
        <w:t>gent</w:t>
      </w:r>
      <w:r w:rsidR="00AB732E">
        <w:rPr>
          <w:rFonts w:ascii="Arial" w:hAnsi="Arial" w:cs="Arial"/>
          <w:sz w:val="18"/>
          <w:szCs w:val="18"/>
        </w:rPr>
        <w:t>”</w:t>
      </w:r>
      <w:r w:rsidR="00374061">
        <w:rPr>
          <w:rFonts w:ascii="Arial" w:hAnsi="Arial" w:cs="Arial" w:hint="eastAsia"/>
          <w:sz w:val="18"/>
          <w:szCs w:val="18"/>
        </w:rPr>
        <w:t xml:space="preserve">; the agent shall submit a </w:t>
      </w:r>
      <w:r w:rsidR="00E03969">
        <w:rPr>
          <w:rFonts w:ascii="Arial" w:hAnsi="Arial" w:cs="Arial" w:hint="eastAsia"/>
          <w:sz w:val="18"/>
          <w:szCs w:val="18"/>
        </w:rPr>
        <w:t xml:space="preserve">general </w:t>
      </w:r>
      <w:r w:rsidR="00374061">
        <w:rPr>
          <w:rFonts w:ascii="Arial" w:hAnsi="Arial" w:cs="Arial" w:hint="eastAsia"/>
          <w:sz w:val="18"/>
          <w:szCs w:val="18"/>
        </w:rPr>
        <w:t>power of attorney</w:t>
      </w:r>
      <w:r w:rsidR="00AB732E">
        <w:rPr>
          <w:rFonts w:ascii="Arial" w:hAnsi="Arial" w:cs="Arial" w:hint="eastAsia"/>
          <w:sz w:val="18"/>
          <w:szCs w:val="18"/>
        </w:rPr>
        <w:t>)</w:t>
      </w:r>
      <w:r w:rsidRPr="00584CAA">
        <w:rPr>
          <w:rFonts w:ascii="Arial" w:hAnsi="Arial" w:cs="Arial"/>
          <w:sz w:val="18"/>
          <w:szCs w:val="18"/>
        </w:rPr>
        <w:t>, in accordance with Article</w:t>
      </w:r>
      <w:r w:rsidR="00AB732E">
        <w:rPr>
          <w:rFonts w:ascii="Arial" w:hAnsi="Arial" w:cs="Arial" w:hint="eastAsia"/>
          <w:sz w:val="18"/>
          <w:szCs w:val="18"/>
        </w:rPr>
        <w:t xml:space="preserve"> 9 of the </w:t>
      </w:r>
      <w:r w:rsidR="00AB732E" w:rsidRPr="00AB732E">
        <w:rPr>
          <w:rFonts w:ascii="Arial" w:hAnsi="Arial" w:cs="Arial"/>
          <w:sz w:val="18"/>
          <w:szCs w:val="18"/>
        </w:rPr>
        <w:t>Regulations Governing Securities Trading on the Taipei Exchange</w:t>
      </w:r>
      <w:r w:rsidR="005957BC">
        <w:rPr>
          <w:rFonts w:ascii="Arial" w:hAnsi="Arial" w:cs="Arial" w:hint="eastAsia"/>
          <w:sz w:val="18"/>
          <w:szCs w:val="18"/>
        </w:rPr>
        <w:t xml:space="preserve"> (</w:t>
      </w:r>
      <w:r w:rsidR="005957BC">
        <w:rPr>
          <w:rFonts w:ascii="Arial" w:hAnsi="Arial" w:cs="Arial"/>
          <w:sz w:val="18"/>
          <w:szCs w:val="18"/>
        </w:rPr>
        <w:t>hereinafter</w:t>
      </w:r>
      <w:r w:rsidRPr="00584CAA">
        <w:rPr>
          <w:rFonts w:ascii="Arial" w:hAnsi="Arial" w:cs="Arial"/>
          <w:sz w:val="18"/>
          <w:szCs w:val="18"/>
        </w:rPr>
        <w:t xml:space="preserve"> </w:t>
      </w:r>
      <w:r w:rsidR="005957BC">
        <w:rPr>
          <w:rFonts w:ascii="Arial" w:hAnsi="Arial" w:cs="Arial"/>
          <w:sz w:val="18"/>
          <w:szCs w:val="18"/>
        </w:rPr>
        <w:t>“</w:t>
      </w:r>
      <w:r w:rsidRPr="00584CAA">
        <w:rPr>
          <w:rFonts w:ascii="Arial" w:hAnsi="Arial" w:cs="Arial"/>
          <w:sz w:val="18"/>
          <w:szCs w:val="18"/>
        </w:rPr>
        <w:t>the Regulations</w:t>
      </w:r>
      <w:r w:rsidR="005957BC">
        <w:rPr>
          <w:rFonts w:ascii="Arial" w:hAnsi="Arial" w:cs="Arial"/>
          <w:sz w:val="18"/>
          <w:szCs w:val="18"/>
        </w:rPr>
        <w:t>”</w:t>
      </w:r>
      <w:r w:rsidR="006D49FA">
        <w:rPr>
          <w:rFonts w:ascii="Arial" w:hAnsi="Arial" w:cs="Arial" w:hint="eastAsia"/>
          <w:sz w:val="18"/>
          <w:szCs w:val="18"/>
        </w:rPr>
        <w:t>)</w:t>
      </w:r>
      <w:r w:rsidRPr="00584CAA">
        <w:rPr>
          <w:rFonts w:ascii="Arial" w:hAnsi="Arial" w:cs="Arial"/>
          <w:sz w:val="18"/>
          <w:szCs w:val="18"/>
        </w:rPr>
        <w:t xml:space="preserve">, </w:t>
      </w:r>
      <w:r w:rsidR="00F2286C">
        <w:rPr>
          <w:rFonts w:ascii="Arial" w:hAnsi="Arial" w:cs="Arial" w:hint="eastAsia"/>
          <w:sz w:val="18"/>
          <w:szCs w:val="18"/>
        </w:rPr>
        <w:t xml:space="preserve">hereby </w:t>
      </w:r>
      <w:r w:rsidRPr="00584CAA">
        <w:rPr>
          <w:rFonts w:ascii="Arial" w:hAnsi="Arial" w:cs="Arial"/>
          <w:sz w:val="18"/>
          <w:szCs w:val="18"/>
        </w:rPr>
        <w:t>appl</w:t>
      </w:r>
      <w:r w:rsidR="00F2286C">
        <w:rPr>
          <w:rFonts w:ascii="Arial" w:hAnsi="Arial" w:cs="Arial" w:hint="eastAsia"/>
          <w:sz w:val="18"/>
          <w:szCs w:val="18"/>
        </w:rPr>
        <w:t>y</w:t>
      </w:r>
      <w:r w:rsidRPr="00584CAA">
        <w:rPr>
          <w:rFonts w:ascii="Arial" w:hAnsi="Arial" w:cs="Arial"/>
          <w:sz w:val="18"/>
          <w:szCs w:val="18"/>
        </w:rPr>
        <w:t xml:space="preserve"> with the</w:t>
      </w:r>
      <w:r>
        <w:rPr>
          <w:rFonts w:ascii="Arial" w:hAnsi="Arial" w:cs="Arial" w:hint="eastAsia"/>
          <w:sz w:val="18"/>
          <w:szCs w:val="18"/>
        </w:rPr>
        <w:t xml:space="preserve"> </w:t>
      </w:r>
      <w:r w:rsidRPr="00F605B3">
        <w:rPr>
          <w:rFonts w:ascii="Arial" w:hAnsi="Arial" w:cs="Arial"/>
          <w:sz w:val="18"/>
          <w:szCs w:val="18"/>
        </w:rPr>
        <w:t>Taipei Exchange</w:t>
      </w:r>
      <w:r w:rsidRPr="00584CAA">
        <w:rPr>
          <w:rFonts w:ascii="Arial" w:hAnsi="Arial" w:cs="Arial"/>
          <w:sz w:val="18"/>
          <w:szCs w:val="18"/>
        </w:rPr>
        <w:t xml:space="preserve"> (</w:t>
      </w:r>
      <w:r w:rsidR="00F2286C">
        <w:rPr>
          <w:rFonts w:ascii="Arial" w:hAnsi="Arial" w:cs="Arial" w:hint="eastAsia"/>
          <w:sz w:val="18"/>
          <w:szCs w:val="18"/>
        </w:rPr>
        <w:t xml:space="preserve">hereinafter </w:t>
      </w:r>
      <w:r w:rsidRPr="00584CAA">
        <w:rPr>
          <w:rFonts w:ascii="Arial" w:hAnsi="Arial" w:cs="Arial"/>
          <w:sz w:val="18"/>
          <w:szCs w:val="18"/>
        </w:rPr>
        <w:t>"</w:t>
      </w:r>
      <w:r w:rsidR="00F2286C">
        <w:rPr>
          <w:rFonts w:ascii="Arial" w:hAnsi="Arial" w:cs="Arial" w:hint="eastAsia"/>
          <w:sz w:val="18"/>
          <w:szCs w:val="18"/>
        </w:rPr>
        <w:t xml:space="preserve">the </w:t>
      </w:r>
      <w:r w:rsidRPr="00F605B3">
        <w:rPr>
          <w:rFonts w:ascii="Arial" w:hAnsi="Arial" w:cs="Arial"/>
          <w:sz w:val="18"/>
          <w:szCs w:val="18"/>
        </w:rPr>
        <w:t>TPEx</w:t>
      </w:r>
      <w:r w:rsidRPr="00584CAA">
        <w:rPr>
          <w:rFonts w:ascii="Arial" w:hAnsi="Arial" w:cs="Arial"/>
          <w:sz w:val="18"/>
          <w:szCs w:val="18"/>
        </w:rPr>
        <w:t xml:space="preserve">") for the trading </w:t>
      </w:r>
      <w:r w:rsidR="00E03969">
        <w:rPr>
          <w:rFonts w:ascii="Arial" w:hAnsi="Arial" w:cs="Arial" w:hint="eastAsia"/>
          <w:sz w:val="18"/>
          <w:szCs w:val="18"/>
        </w:rPr>
        <w:t xml:space="preserve">on the TPEx </w:t>
      </w:r>
      <w:r w:rsidRPr="00584CAA">
        <w:rPr>
          <w:rFonts w:ascii="Arial" w:hAnsi="Arial" w:cs="Arial"/>
          <w:sz w:val="18"/>
          <w:szCs w:val="18"/>
        </w:rPr>
        <w:t>of</w:t>
      </w:r>
      <w:r w:rsidR="005957BC">
        <w:rPr>
          <w:rFonts w:ascii="Arial" w:hAnsi="Arial" w:cs="Arial" w:hint="eastAsia"/>
          <w:sz w:val="18"/>
          <w:szCs w:val="18"/>
        </w:rPr>
        <w:t xml:space="preserve"> </w:t>
      </w:r>
      <w:r w:rsidR="00FA271D">
        <w:rPr>
          <w:rFonts w:ascii="Arial" w:hAnsi="Arial" w:cs="Arial" w:hint="eastAsia"/>
          <w:sz w:val="18"/>
          <w:szCs w:val="18"/>
        </w:rPr>
        <w:t>New Taiwan dollar denominated</w:t>
      </w:r>
      <w:r w:rsidRPr="00584CAA">
        <w:rPr>
          <w:rFonts w:ascii="Arial" w:hAnsi="Arial" w:cs="Arial"/>
          <w:sz w:val="18"/>
          <w:szCs w:val="18"/>
        </w:rPr>
        <w:t xml:space="preserve"> </w:t>
      </w:r>
      <w:r w:rsidR="00374061">
        <w:rPr>
          <w:rFonts w:ascii="Arial" w:hAnsi="Arial" w:cs="Arial"/>
          <w:sz w:val="18"/>
          <w:szCs w:val="18"/>
        </w:rPr>
        <w:t>foreign</w:t>
      </w:r>
      <w:r w:rsidRPr="00584CAA">
        <w:rPr>
          <w:rFonts w:ascii="Arial" w:hAnsi="Arial" w:cs="Arial"/>
          <w:sz w:val="18"/>
          <w:szCs w:val="18"/>
        </w:rPr>
        <w:t xml:space="preserve"> bonds issue</w:t>
      </w:r>
      <w:r w:rsidR="00E03969">
        <w:rPr>
          <w:rFonts w:ascii="Arial" w:hAnsi="Arial" w:cs="Arial" w:hint="eastAsia"/>
          <w:sz w:val="18"/>
          <w:szCs w:val="18"/>
        </w:rPr>
        <w:t>d</w:t>
      </w:r>
      <w:r w:rsidRPr="00584CAA">
        <w:rPr>
          <w:rFonts w:ascii="Arial" w:hAnsi="Arial" w:cs="Arial"/>
          <w:sz w:val="18"/>
          <w:szCs w:val="18"/>
        </w:rPr>
        <w:t xml:space="preserve"> </w:t>
      </w:r>
      <w:r w:rsidR="00E03969">
        <w:rPr>
          <w:rFonts w:ascii="Arial" w:hAnsi="Arial" w:cs="Arial" w:hint="eastAsia"/>
          <w:sz w:val="18"/>
          <w:szCs w:val="18"/>
        </w:rPr>
        <w:t>by the issuer</w:t>
      </w:r>
      <w:r w:rsidRPr="00584CAA">
        <w:rPr>
          <w:rFonts w:ascii="Arial" w:hAnsi="Arial" w:cs="Arial"/>
          <w:sz w:val="18"/>
          <w:szCs w:val="18"/>
        </w:rPr>
        <w:t xml:space="preserve">. </w:t>
      </w:r>
      <w:r w:rsidR="005957BC">
        <w:rPr>
          <w:rFonts w:ascii="Arial" w:hAnsi="Arial" w:cs="Arial" w:hint="eastAsia"/>
          <w:sz w:val="18"/>
          <w:szCs w:val="18"/>
        </w:rPr>
        <w:t>T</w:t>
      </w:r>
      <w:r w:rsidRPr="00584CAA">
        <w:rPr>
          <w:rFonts w:ascii="Arial" w:hAnsi="Arial" w:cs="Arial"/>
          <w:sz w:val="18"/>
          <w:szCs w:val="18"/>
        </w:rPr>
        <w:t xml:space="preserve">he parties agree to </w:t>
      </w:r>
      <w:r w:rsidR="00E03969">
        <w:rPr>
          <w:rFonts w:ascii="Arial" w:hAnsi="Arial" w:cs="Arial" w:hint="eastAsia"/>
          <w:sz w:val="18"/>
          <w:szCs w:val="18"/>
        </w:rPr>
        <w:t xml:space="preserve">enter into </w:t>
      </w:r>
      <w:r w:rsidRPr="00584CAA">
        <w:rPr>
          <w:rFonts w:ascii="Arial" w:hAnsi="Arial" w:cs="Arial"/>
          <w:sz w:val="18"/>
          <w:szCs w:val="18"/>
        </w:rPr>
        <w:t xml:space="preserve">this Contract </w:t>
      </w:r>
      <w:r w:rsidR="00F167DF">
        <w:rPr>
          <w:rFonts w:ascii="Arial" w:hAnsi="Arial" w:cs="Arial" w:hint="eastAsia"/>
          <w:sz w:val="18"/>
          <w:szCs w:val="18"/>
        </w:rPr>
        <w:t>and to faithfully abide by</w:t>
      </w:r>
      <w:r w:rsidRPr="00584CAA">
        <w:rPr>
          <w:rFonts w:ascii="Arial" w:hAnsi="Arial" w:cs="Arial"/>
          <w:sz w:val="18"/>
          <w:szCs w:val="18"/>
        </w:rPr>
        <w:t xml:space="preserve"> the terms and </w:t>
      </w:r>
      <w:r w:rsidR="005957BC">
        <w:rPr>
          <w:rFonts w:ascii="Arial" w:hAnsi="Arial" w:cs="Arial"/>
          <w:sz w:val="18"/>
          <w:szCs w:val="18"/>
        </w:rPr>
        <w:t>conditions specified below:</w:t>
      </w:r>
    </w:p>
    <w:p w:rsidR="00A17570" w:rsidRPr="00584CAA" w:rsidRDefault="00A17570" w:rsidP="00A17570">
      <w:pPr>
        <w:pStyle w:val="a9"/>
        <w:adjustRightInd w:val="0"/>
        <w:snapToGrid w:val="0"/>
        <w:spacing w:line="380" w:lineRule="exact"/>
        <w:ind w:left="902" w:hangingChars="501" w:hanging="902"/>
        <w:jc w:val="both"/>
        <w:rPr>
          <w:rFonts w:ascii="Times New Roman" w:eastAsia="標楷體" w:hAnsi="Times New Roman"/>
          <w:sz w:val="18"/>
          <w:szCs w:val="18"/>
        </w:rPr>
      </w:pPr>
      <w:r w:rsidRPr="00584CAA">
        <w:rPr>
          <w:rFonts w:ascii="Arial" w:hAnsi="Arial" w:cs="Arial" w:hint="eastAsia"/>
          <w:sz w:val="18"/>
          <w:szCs w:val="18"/>
        </w:rPr>
        <w:t>Article 1</w:t>
      </w:r>
      <w:r w:rsidRPr="00584CAA">
        <w:rPr>
          <w:rFonts w:ascii="Arial" w:hAnsi="Arial" w:cs="Arial" w:hint="eastAsia"/>
          <w:sz w:val="18"/>
          <w:szCs w:val="18"/>
        </w:rPr>
        <w:tab/>
      </w:r>
      <w:r w:rsidR="007E37D8">
        <w:rPr>
          <w:rFonts w:ascii="Arial" w:hAnsi="Arial" w:cs="Arial"/>
          <w:sz w:val="18"/>
          <w:szCs w:val="18"/>
        </w:rPr>
        <w:t xml:space="preserve">The </w:t>
      </w:r>
      <w:r w:rsidR="00374061">
        <w:rPr>
          <w:rFonts w:ascii="Arial" w:hAnsi="Arial" w:cs="Arial"/>
          <w:sz w:val="18"/>
          <w:szCs w:val="18"/>
        </w:rPr>
        <w:t>foreign</w:t>
      </w:r>
      <w:r w:rsidR="007E37D8">
        <w:rPr>
          <w:rFonts w:ascii="Arial" w:hAnsi="Arial" w:cs="Arial"/>
          <w:sz w:val="18"/>
          <w:szCs w:val="18"/>
        </w:rPr>
        <w:t xml:space="preserve"> bonds</w:t>
      </w:r>
      <w:r w:rsidR="007E37D8">
        <w:rPr>
          <w:rFonts w:ascii="Arial" w:hAnsi="Arial" w:cs="Arial" w:hint="eastAsia"/>
          <w:sz w:val="18"/>
          <w:szCs w:val="18"/>
        </w:rPr>
        <w:t xml:space="preserve"> </w:t>
      </w:r>
      <w:r w:rsidR="00E03969">
        <w:rPr>
          <w:rFonts w:ascii="Arial" w:hAnsi="Arial" w:cs="Arial" w:hint="eastAsia"/>
          <w:sz w:val="18"/>
          <w:szCs w:val="18"/>
        </w:rPr>
        <w:t xml:space="preserve">for which </w:t>
      </w:r>
      <w:r w:rsidR="007E37D8">
        <w:rPr>
          <w:rFonts w:ascii="Arial" w:hAnsi="Arial" w:cs="Arial" w:hint="eastAsia"/>
          <w:sz w:val="18"/>
          <w:szCs w:val="18"/>
        </w:rPr>
        <w:t>the</w:t>
      </w:r>
      <w:r w:rsidRPr="00584CAA">
        <w:rPr>
          <w:rFonts w:ascii="Arial" w:hAnsi="Arial" w:cs="Arial"/>
          <w:sz w:val="18"/>
          <w:szCs w:val="18"/>
        </w:rPr>
        <w:t xml:space="preserve"> Issuer</w:t>
      </w:r>
      <w:r w:rsidR="005957BC">
        <w:rPr>
          <w:rFonts w:ascii="Arial" w:hAnsi="Arial" w:cs="Arial" w:hint="eastAsia"/>
          <w:sz w:val="18"/>
          <w:szCs w:val="18"/>
        </w:rPr>
        <w:t xml:space="preserve"> or </w:t>
      </w:r>
      <w:r w:rsidR="00374061">
        <w:rPr>
          <w:rFonts w:ascii="Arial" w:hAnsi="Arial" w:cs="Arial" w:hint="eastAsia"/>
          <w:sz w:val="18"/>
          <w:szCs w:val="18"/>
        </w:rPr>
        <w:t>the</w:t>
      </w:r>
      <w:r w:rsidR="005957BC">
        <w:rPr>
          <w:rFonts w:ascii="Arial" w:hAnsi="Arial" w:cs="Arial" w:hint="eastAsia"/>
          <w:sz w:val="18"/>
          <w:szCs w:val="18"/>
        </w:rPr>
        <w:t xml:space="preserve"> Agent</w:t>
      </w:r>
      <w:r w:rsidRPr="00584CAA">
        <w:rPr>
          <w:rFonts w:ascii="Arial" w:hAnsi="Arial" w:cs="Arial"/>
          <w:sz w:val="18"/>
          <w:szCs w:val="18"/>
        </w:rPr>
        <w:t xml:space="preserve"> initially appl</w:t>
      </w:r>
      <w:r w:rsidR="00E03969">
        <w:rPr>
          <w:rFonts w:ascii="Arial" w:hAnsi="Arial" w:cs="Arial" w:hint="eastAsia"/>
          <w:sz w:val="18"/>
          <w:szCs w:val="18"/>
        </w:rPr>
        <w:t>ies</w:t>
      </w:r>
      <w:r w:rsidRPr="00584CAA">
        <w:rPr>
          <w:rFonts w:ascii="Arial" w:hAnsi="Arial" w:cs="Arial"/>
          <w:sz w:val="18"/>
          <w:szCs w:val="18"/>
        </w:rPr>
        <w:t xml:space="preserve"> for trading on the </w:t>
      </w:r>
      <w:r>
        <w:rPr>
          <w:rFonts w:ascii="Arial" w:hAnsi="Arial" w:cs="Arial"/>
          <w:sz w:val="18"/>
          <w:szCs w:val="18"/>
        </w:rPr>
        <w:t>TPEx</w:t>
      </w:r>
      <w:r w:rsidRPr="00584CAA">
        <w:rPr>
          <w:rFonts w:ascii="Arial" w:hAnsi="Arial" w:cs="Arial"/>
          <w:sz w:val="18"/>
          <w:szCs w:val="18"/>
        </w:rPr>
        <w:t xml:space="preserve"> pursuant to this Contract </w:t>
      </w:r>
      <w:r w:rsidR="00E03969">
        <w:rPr>
          <w:rFonts w:ascii="Arial" w:hAnsi="Arial" w:cs="Arial" w:hint="eastAsia"/>
          <w:sz w:val="18"/>
          <w:szCs w:val="18"/>
        </w:rPr>
        <w:t>are</w:t>
      </w:r>
      <w:r w:rsidRPr="00584CAA">
        <w:rPr>
          <w:rFonts w:ascii="Arial" w:hAnsi="Arial" w:cs="Arial"/>
          <w:sz w:val="18"/>
          <w:szCs w:val="18"/>
        </w:rPr>
        <w:t>:</w:t>
      </w:r>
    </w:p>
    <w:tbl>
      <w:tblPr>
        <w:tblW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02"/>
        <w:gridCol w:w="1503"/>
        <w:gridCol w:w="1503"/>
        <w:gridCol w:w="1502"/>
        <w:gridCol w:w="1503"/>
        <w:gridCol w:w="1503"/>
        <w:gridCol w:w="1503"/>
      </w:tblGrid>
      <w:tr w:rsidR="00F2286C" w:rsidRPr="00584CAA" w:rsidTr="007E37D8">
        <w:tc>
          <w:tcPr>
            <w:tcW w:w="1502" w:type="dxa"/>
          </w:tcPr>
          <w:p w:rsidR="00F2286C" w:rsidRPr="00D2712F" w:rsidRDefault="00E03969" w:rsidP="00E03969">
            <w:pPr>
              <w:pStyle w:val="a9"/>
              <w:adjustRightInd w:val="0"/>
              <w:snapToGrid w:val="0"/>
              <w:spacing w:line="380" w:lineRule="exact"/>
              <w:rPr>
                <w:rFonts w:ascii="Arial" w:hAnsi="Arial" w:cs="Arial"/>
                <w:sz w:val="18"/>
                <w:szCs w:val="18"/>
              </w:rPr>
            </w:pPr>
            <w:r w:rsidRPr="00D2712F">
              <w:rPr>
                <w:rFonts w:ascii="Arial" w:hAnsi="Arial" w:cs="Arial" w:hint="eastAsia"/>
                <w:sz w:val="18"/>
                <w:szCs w:val="18"/>
              </w:rPr>
              <w:t xml:space="preserve">Bond </w:t>
            </w:r>
            <w:r w:rsidR="00E8676B" w:rsidRPr="00625BFB">
              <w:rPr>
                <w:rFonts w:ascii="Arial" w:hAnsi="Arial" w:cs="Arial"/>
                <w:sz w:val="18"/>
                <w:szCs w:val="18"/>
              </w:rPr>
              <w:t>Category</w:t>
            </w:r>
            <w:r w:rsidRPr="00D2712F">
              <w:rPr>
                <w:rFonts w:ascii="Arial" w:hAnsi="Arial" w:cs="Arial" w:hint="eastAsia"/>
                <w:sz w:val="18"/>
                <w:szCs w:val="18"/>
              </w:rPr>
              <w:t xml:space="preserve"> and </w:t>
            </w:r>
            <w:r w:rsidR="00E8676B" w:rsidRPr="00625BFB">
              <w:rPr>
                <w:rFonts w:ascii="Arial" w:hAnsi="Arial" w:cs="Arial"/>
                <w:sz w:val="18"/>
                <w:szCs w:val="18"/>
              </w:rPr>
              <w:t>Nomenclature</w:t>
            </w:r>
            <w:r w:rsidRPr="00D2712F">
              <w:rPr>
                <w:rFonts w:ascii="Arial" w:hAnsi="Arial" w:cs="Arial" w:hint="eastAsia"/>
                <w:sz w:val="18"/>
                <w:szCs w:val="18"/>
              </w:rPr>
              <w:t xml:space="preserve"> </w:t>
            </w:r>
          </w:p>
        </w:tc>
        <w:tc>
          <w:tcPr>
            <w:tcW w:w="1503" w:type="dxa"/>
          </w:tcPr>
          <w:p w:rsidR="00F2286C" w:rsidRPr="00584CAA" w:rsidRDefault="00F2286C" w:rsidP="00F2286C">
            <w:pPr>
              <w:pStyle w:val="a9"/>
              <w:adjustRightInd w:val="0"/>
              <w:snapToGrid w:val="0"/>
              <w:spacing w:line="380" w:lineRule="exact"/>
              <w:ind w:left="1123" w:hanging="1123"/>
              <w:rPr>
                <w:rFonts w:ascii="Arial" w:hAnsi="Arial" w:cs="Arial"/>
                <w:sz w:val="18"/>
                <w:szCs w:val="18"/>
              </w:rPr>
            </w:pPr>
            <w:r w:rsidRPr="00584CAA">
              <w:rPr>
                <w:rFonts w:ascii="Arial" w:hAnsi="Arial" w:cs="Arial" w:hint="eastAsia"/>
                <w:sz w:val="18"/>
                <w:szCs w:val="18"/>
              </w:rPr>
              <w:t>Date of Issue</w:t>
            </w:r>
          </w:p>
        </w:tc>
        <w:tc>
          <w:tcPr>
            <w:tcW w:w="1503" w:type="dxa"/>
            <w:textDirection w:val="lrTbV"/>
          </w:tcPr>
          <w:p w:rsidR="00F2286C" w:rsidRPr="00584CAA" w:rsidRDefault="007E37D8" w:rsidP="00CF0F5B">
            <w:pPr>
              <w:pStyle w:val="a9"/>
              <w:adjustRightInd w:val="0"/>
              <w:snapToGrid w:val="0"/>
              <w:spacing w:line="380" w:lineRule="exact"/>
              <w:ind w:left="1123" w:hanging="1123"/>
              <w:jc w:val="both"/>
              <w:rPr>
                <w:rFonts w:ascii="Arial" w:hAnsi="Arial" w:cs="Arial"/>
                <w:sz w:val="18"/>
                <w:szCs w:val="18"/>
              </w:rPr>
            </w:pPr>
            <w:r>
              <w:rPr>
                <w:rFonts w:ascii="Arial" w:hAnsi="Arial" w:cs="Arial" w:hint="eastAsia"/>
                <w:sz w:val="18"/>
                <w:szCs w:val="18"/>
              </w:rPr>
              <w:t>Par Value</w:t>
            </w:r>
          </w:p>
        </w:tc>
        <w:tc>
          <w:tcPr>
            <w:tcW w:w="1502" w:type="dxa"/>
          </w:tcPr>
          <w:p w:rsidR="00F2286C" w:rsidRPr="00584CAA" w:rsidRDefault="007E37D8" w:rsidP="00F2286C">
            <w:pPr>
              <w:pStyle w:val="a9"/>
              <w:adjustRightInd w:val="0"/>
              <w:snapToGrid w:val="0"/>
              <w:spacing w:line="380" w:lineRule="exact"/>
              <w:rPr>
                <w:rFonts w:ascii="Arial" w:hAnsi="Arial" w:cs="Arial"/>
                <w:sz w:val="18"/>
                <w:szCs w:val="18"/>
              </w:rPr>
            </w:pPr>
            <w:r>
              <w:rPr>
                <w:rFonts w:ascii="Arial" w:hAnsi="Arial" w:cs="Arial" w:hint="eastAsia"/>
                <w:sz w:val="18"/>
                <w:szCs w:val="18"/>
              </w:rPr>
              <w:t>Coupon Rate</w:t>
            </w:r>
          </w:p>
        </w:tc>
        <w:tc>
          <w:tcPr>
            <w:tcW w:w="1503" w:type="dxa"/>
          </w:tcPr>
          <w:p w:rsidR="00F2286C" w:rsidRPr="00584CAA" w:rsidRDefault="00F2286C" w:rsidP="00E03969">
            <w:pPr>
              <w:pStyle w:val="a9"/>
              <w:adjustRightInd w:val="0"/>
              <w:snapToGrid w:val="0"/>
              <w:spacing w:line="380" w:lineRule="exact"/>
              <w:rPr>
                <w:rFonts w:ascii="Arial" w:hAnsi="Arial" w:cs="Arial"/>
                <w:sz w:val="18"/>
                <w:szCs w:val="18"/>
              </w:rPr>
            </w:pPr>
            <w:r w:rsidRPr="00584CAA">
              <w:rPr>
                <w:rFonts w:ascii="Arial" w:hAnsi="Arial" w:cs="Arial" w:hint="eastAsia"/>
                <w:sz w:val="18"/>
                <w:szCs w:val="18"/>
              </w:rPr>
              <w:t xml:space="preserve">Total </w:t>
            </w:r>
            <w:r w:rsidR="00E03969">
              <w:rPr>
                <w:rFonts w:ascii="Arial" w:hAnsi="Arial" w:cs="Arial" w:hint="eastAsia"/>
                <w:sz w:val="18"/>
                <w:szCs w:val="18"/>
              </w:rPr>
              <w:t>Quantity</w:t>
            </w:r>
            <w:r w:rsidRPr="00584CAA">
              <w:rPr>
                <w:rFonts w:ascii="Arial" w:hAnsi="Arial" w:cs="Arial" w:hint="eastAsia"/>
                <w:sz w:val="18"/>
                <w:szCs w:val="18"/>
              </w:rPr>
              <w:t xml:space="preserve"> Issued </w:t>
            </w:r>
          </w:p>
        </w:tc>
        <w:tc>
          <w:tcPr>
            <w:tcW w:w="1503" w:type="dxa"/>
          </w:tcPr>
          <w:p w:rsidR="00F2286C" w:rsidRPr="00584CAA" w:rsidRDefault="00014890" w:rsidP="00014890">
            <w:pPr>
              <w:pStyle w:val="a9"/>
              <w:adjustRightInd w:val="0"/>
              <w:snapToGrid w:val="0"/>
              <w:spacing w:line="380" w:lineRule="exact"/>
              <w:rPr>
                <w:rFonts w:ascii="Arial" w:hAnsi="Arial" w:cs="Arial"/>
                <w:sz w:val="18"/>
                <w:szCs w:val="18"/>
              </w:rPr>
            </w:pPr>
            <w:r w:rsidRPr="00625BFB">
              <w:rPr>
                <w:rFonts w:ascii="Arial" w:hAnsi="Arial" w:cs="Arial"/>
                <w:sz w:val="18"/>
                <w:szCs w:val="18"/>
              </w:rPr>
              <w:t>Repayment Term</w:t>
            </w:r>
          </w:p>
        </w:tc>
        <w:tc>
          <w:tcPr>
            <w:tcW w:w="1503" w:type="dxa"/>
          </w:tcPr>
          <w:p w:rsidR="00F2286C" w:rsidRPr="00584CAA" w:rsidRDefault="00F2286C" w:rsidP="00F2286C">
            <w:pPr>
              <w:pStyle w:val="a9"/>
              <w:adjustRightInd w:val="0"/>
              <w:snapToGrid w:val="0"/>
              <w:spacing w:line="380" w:lineRule="exact"/>
              <w:ind w:left="1123" w:hanging="1123"/>
              <w:rPr>
                <w:rFonts w:ascii="Arial" w:hAnsi="Arial" w:cs="Arial"/>
                <w:sz w:val="18"/>
                <w:szCs w:val="18"/>
              </w:rPr>
            </w:pPr>
            <w:r w:rsidRPr="00584CAA">
              <w:rPr>
                <w:rFonts w:ascii="Arial" w:hAnsi="Arial" w:cs="Arial" w:hint="eastAsia"/>
                <w:sz w:val="18"/>
                <w:szCs w:val="18"/>
              </w:rPr>
              <w:t>Remarks</w:t>
            </w:r>
          </w:p>
        </w:tc>
      </w:tr>
      <w:tr w:rsidR="00F2286C" w:rsidRPr="00584CAA" w:rsidTr="007E37D8">
        <w:tc>
          <w:tcPr>
            <w:tcW w:w="1502" w:type="dxa"/>
          </w:tcPr>
          <w:p w:rsidR="00F2286C" w:rsidRPr="00D2712F" w:rsidRDefault="00F2286C" w:rsidP="00CF0F5B">
            <w:pPr>
              <w:pStyle w:val="a9"/>
              <w:adjustRightInd w:val="0"/>
              <w:snapToGrid w:val="0"/>
              <w:spacing w:line="380" w:lineRule="exact"/>
              <w:jc w:val="both"/>
              <w:rPr>
                <w:rFonts w:ascii="Times New Roman" w:eastAsia="標楷體" w:hAnsi="Times New Roman"/>
                <w:sz w:val="18"/>
                <w:szCs w:val="18"/>
              </w:rPr>
            </w:pPr>
          </w:p>
        </w:tc>
        <w:tc>
          <w:tcPr>
            <w:tcW w:w="1503" w:type="dxa"/>
          </w:tcPr>
          <w:p w:rsidR="00F2286C" w:rsidRPr="00584CAA" w:rsidRDefault="00F2286C" w:rsidP="00CF0F5B">
            <w:pPr>
              <w:pStyle w:val="a9"/>
              <w:adjustRightInd w:val="0"/>
              <w:snapToGrid w:val="0"/>
              <w:spacing w:line="380" w:lineRule="exact"/>
              <w:ind w:left="1123" w:hanging="1123"/>
              <w:jc w:val="both"/>
              <w:rPr>
                <w:rFonts w:ascii="Times New Roman" w:eastAsia="標楷體" w:hAnsi="Times New Roman"/>
                <w:sz w:val="18"/>
                <w:szCs w:val="18"/>
              </w:rPr>
            </w:pPr>
          </w:p>
        </w:tc>
        <w:tc>
          <w:tcPr>
            <w:tcW w:w="1503" w:type="dxa"/>
          </w:tcPr>
          <w:p w:rsidR="00F2286C" w:rsidRPr="00584CAA" w:rsidRDefault="00F2286C" w:rsidP="00CF0F5B">
            <w:pPr>
              <w:pStyle w:val="a9"/>
              <w:adjustRightInd w:val="0"/>
              <w:snapToGrid w:val="0"/>
              <w:spacing w:line="380" w:lineRule="exact"/>
              <w:ind w:left="1123" w:hanging="1123"/>
              <w:jc w:val="both"/>
              <w:rPr>
                <w:rFonts w:ascii="Times New Roman" w:eastAsia="標楷體" w:hAnsi="Times New Roman"/>
                <w:sz w:val="18"/>
                <w:szCs w:val="18"/>
              </w:rPr>
            </w:pPr>
          </w:p>
        </w:tc>
        <w:tc>
          <w:tcPr>
            <w:tcW w:w="1502" w:type="dxa"/>
          </w:tcPr>
          <w:p w:rsidR="00F2286C" w:rsidRPr="00584CAA" w:rsidRDefault="00F2286C" w:rsidP="00CF0F5B">
            <w:pPr>
              <w:pStyle w:val="a9"/>
              <w:adjustRightInd w:val="0"/>
              <w:snapToGrid w:val="0"/>
              <w:spacing w:line="380" w:lineRule="exact"/>
              <w:ind w:left="1123" w:hanging="1123"/>
              <w:jc w:val="both"/>
              <w:rPr>
                <w:rFonts w:ascii="Times New Roman" w:eastAsia="標楷體" w:hAnsi="Times New Roman"/>
                <w:sz w:val="18"/>
                <w:szCs w:val="18"/>
              </w:rPr>
            </w:pPr>
          </w:p>
        </w:tc>
        <w:tc>
          <w:tcPr>
            <w:tcW w:w="1503" w:type="dxa"/>
          </w:tcPr>
          <w:p w:rsidR="00F2286C" w:rsidRPr="00584CAA" w:rsidRDefault="00F2286C" w:rsidP="00CF0F5B">
            <w:pPr>
              <w:pStyle w:val="a9"/>
              <w:adjustRightInd w:val="0"/>
              <w:snapToGrid w:val="0"/>
              <w:spacing w:line="380" w:lineRule="exact"/>
              <w:ind w:left="1123" w:hanging="1123"/>
              <w:jc w:val="both"/>
              <w:rPr>
                <w:rFonts w:ascii="Times New Roman" w:eastAsia="標楷體" w:hAnsi="Times New Roman"/>
                <w:sz w:val="18"/>
                <w:szCs w:val="18"/>
              </w:rPr>
            </w:pPr>
          </w:p>
        </w:tc>
        <w:tc>
          <w:tcPr>
            <w:tcW w:w="1503" w:type="dxa"/>
          </w:tcPr>
          <w:p w:rsidR="00F2286C" w:rsidRPr="00584CAA" w:rsidRDefault="00F2286C" w:rsidP="00CF0F5B">
            <w:pPr>
              <w:pStyle w:val="a9"/>
              <w:adjustRightInd w:val="0"/>
              <w:snapToGrid w:val="0"/>
              <w:spacing w:line="380" w:lineRule="exact"/>
              <w:ind w:left="1123" w:hanging="1123"/>
              <w:jc w:val="both"/>
              <w:rPr>
                <w:rFonts w:ascii="Times New Roman" w:eastAsia="標楷體" w:hAnsi="Times New Roman"/>
                <w:sz w:val="18"/>
                <w:szCs w:val="18"/>
              </w:rPr>
            </w:pPr>
          </w:p>
        </w:tc>
        <w:tc>
          <w:tcPr>
            <w:tcW w:w="1503" w:type="dxa"/>
          </w:tcPr>
          <w:p w:rsidR="00F2286C" w:rsidRPr="00584CAA" w:rsidRDefault="00F2286C" w:rsidP="00CF0F5B">
            <w:pPr>
              <w:pStyle w:val="a9"/>
              <w:adjustRightInd w:val="0"/>
              <w:snapToGrid w:val="0"/>
              <w:spacing w:line="380" w:lineRule="exact"/>
              <w:ind w:left="1123" w:hanging="1123"/>
              <w:jc w:val="both"/>
              <w:rPr>
                <w:rFonts w:ascii="Times New Roman" w:eastAsia="標楷體" w:hAnsi="Times New Roman"/>
                <w:sz w:val="18"/>
                <w:szCs w:val="18"/>
              </w:rPr>
            </w:pPr>
          </w:p>
        </w:tc>
      </w:tr>
    </w:tbl>
    <w:p w:rsidR="00A17570" w:rsidRPr="00584CAA" w:rsidRDefault="00A17570" w:rsidP="00A17570">
      <w:pPr>
        <w:pStyle w:val="a9"/>
        <w:adjustRightInd w:val="0"/>
        <w:snapToGrid w:val="0"/>
        <w:spacing w:line="380" w:lineRule="exact"/>
        <w:ind w:leftChars="413" w:left="998" w:hangingChars="4" w:hanging="7"/>
        <w:jc w:val="both"/>
        <w:rPr>
          <w:rFonts w:ascii="Times New Roman" w:eastAsia="標楷體" w:hAnsi="Times New Roman"/>
          <w:sz w:val="18"/>
          <w:szCs w:val="18"/>
        </w:rPr>
      </w:pPr>
      <w:r w:rsidRPr="00584CAA">
        <w:rPr>
          <w:rFonts w:ascii="Arial" w:hAnsi="Arial" w:cs="Arial"/>
          <w:sz w:val="18"/>
          <w:szCs w:val="18"/>
        </w:rPr>
        <w:t>If</w:t>
      </w:r>
      <w:r w:rsidR="007E37D8">
        <w:rPr>
          <w:rFonts w:ascii="Arial" w:hAnsi="Arial" w:cs="Arial" w:hint="eastAsia"/>
          <w:sz w:val="18"/>
          <w:szCs w:val="18"/>
        </w:rPr>
        <w:t>,</w:t>
      </w:r>
      <w:r w:rsidRPr="00584CAA">
        <w:rPr>
          <w:rFonts w:ascii="Arial" w:hAnsi="Arial" w:cs="Arial"/>
          <w:sz w:val="18"/>
          <w:szCs w:val="18"/>
        </w:rPr>
        <w:t xml:space="preserve"> subsequent to the signing of this Contract</w:t>
      </w:r>
      <w:r w:rsidR="007E37D8">
        <w:rPr>
          <w:rFonts w:ascii="Arial" w:hAnsi="Arial" w:cs="Arial" w:hint="eastAsia"/>
          <w:sz w:val="18"/>
          <w:szCs w:val="18"/>
        </w:rPr>
        <w:t>,</w:t>
      </w:r>
      <w:r w:rsidRPr="00584CAA">
        <w:rPr>
          <w:rFonts w:ascii="Arial" w:hAnsi="Arial" w:cs="Arial"/>
          <w:sz w:val="18"/>
          <w:szCs w:val="18"/>
        </w:rPr>
        <w:t xml:space="preserve"> there is any increase or decrease </w:t>
      </w:r>
      <w:r w:rsidR="00E03969">
        <w:rPr>
          <w:rFonts w:ascii="Arial" w:hAnsi="Arial" w:cs="Arial" w:hint="eastAsia"/>
          <w:sz w:val="18"/>
          <w:szCs w:val="18"/>
        </w:rPr>
        <w:t xml:space="preserve">in the quantity </w:t>
      </w:r>
      <w:r w:rsidRPr="00584CAA">
        <w:rPr>
          <w:rFonts w:ascii="Arial" w:hAnsi="Arial" w:cs="Arial"/>
          <w:sz w:val="18"/>
          <w:szCs w:val="18"/>
        </w:rPr>
        <w:t xml:space="preserve">or any change in the </w:t>
      </w:r>
      <w:r w:rsidR="00E03969">
        <w:rPr>
          <w:rFonts w:ascii="Arial" w:hAnsi="Arial" w:cs="Arial" w:hint="eastAsia"/>
          <w:sz w:val="18"/>
          <w:szCs w:val="18"/>
        </w:rPr>
        <w:t xml:space="preserve">details of </w:t>
      </w:r>
      <w:r w:rsidRPr="00584CAA">
        <w:rPr>
          <w:rFonts w:ascii="Arial" w:hAnsi="Arial" w:cs="Arial"/>
          <w:sz w:val="18"/>
          <w:szCs w:val="18"/>
        </w:rPr>
        <w:t xml:space="preserve">the Issuer's </w:t>
      </w:r>
      <w:r>
        <w:rPr>
          <w:rFonts w:ascii="Arial" w:hAnsi="Arial" w:cs="Arial"/>
          <w:sz w:val="18"/>
          <w:szCs w:val="18"/>
        </w:rPr>
        <w:t>TPEx</w:t>
      </w:r>
      <w:r w:rsidRPr="00584CAA">
        <w:rPr>
          <w:rFonts w:ascii="Arial" w:hAnsi="Arial" w:cs="Arial"/>
          <w:sz w:val="18"/>
          <w:szCs w:val="18"/>
        </w:rPr>
        <w:t xml:space="preserve">-traded </w:t>
      </w:r>
      <w:r w:rsidR="00F2286C">
        <w:rPr>
          <w:rFonts w:ascii="Arial" w:hAnsi="Arial" w:cs="Arial" w:hint="eastAsia"/>
          <w:sz w:val="18"/>
          <w:szCs w:val="18"/>
        </w:rPr>
        <w:t xml:space="preserve">New Taiwan </w:t>
      </w:r>
      <w:r w:rsidR="00E03969">
        <w:rPr>
          <w:rFonts w:ascii="Arial" w:hAnsi="Arial" w:cs="Arial" w:hint="eastAsia"/>
          <w:sz w:val="18"/>
          <w:szCs w:val="18"/>
        </w:rPr>
        <w:t>d</w:t>
      </w:r>
      <w:r w:rsidR="00F2286C">
        <w:rPr>
          <w:rFonts w:ascii="Arial" w:hAnsi="Arial" w:cs="Arial" w:hint="eastAsia"/>
          <w:sz w:val="18"/>
          <w:szCs w:val="18"/>
        </w:rPr>
        <w:t xml:space="preserve">ollar denominated </w:t>
      </w:r>
      <w:r w:rsidR="00374061">
        <w:rPr>
          <w:rFonts w:ascii="Arial" w:hAnsi="Arial" w:cs="Arial"/>
          <w:sz w:val="18"/>
          <w:szCs w:val="18"/>
        </w:rPr>
        <w:t>foreign</w:t>
      </w:r>
      <w:r w:rsidRPr="00584CAA">
        <w:rPr>
          <w:rFonts w:ascii="Arial" w:hAnsi="Arial" w:cs="Arial"/>
          <w:sz w:val="18"/>
          <w:szCs w:val="18"/>
        </w:rPr>
        <w:t xml:space="preserve"> bonds, the increase or decrease or change in </w:t>
      </w:r>
      <w:r w:rsidR="00E03969">
        <w:rPr>
          <w:rFonts w:ascii="Arial" w:hAnsi="Arial" w:cs="Arial" w:hint="eastAsia"/>
          <w:sz w:val="18"/>
          <w:szCs w:val="18"/>
        </w:rPr>
        <w:t xml:space="preserve">details </w:t>
      </w:r>
      <w:r w:rsidRPr="00584CAA">
        <w:rPr>
          <w:rFonts w:ascii="Arial" w:hAnsi="Arial" w:cs="Arial"/>
          <w:sz w:val="18"/>
          <w:szCs w:val="18"/>
        </w:rPr>
        <w:t xml:space="preserve">recorded in the Application for </w:t>
      </w:r>
      <w:r>
        <w:rPr>
          <w:rFonts w:ascii="Arial" w:hAnsi="Arial" w:cs="Arial"/>
          <w:sz w:val="18"/>
          <w:szCs w:val="18"/>
        </w:rPr>
        <w:t>TPEx</w:t>
      </w:r>
      <w:r w:rsidRPr="00584CAA">
        <w:rPr>
          <w:rFonts w:ascii="Arial" w:hAnsi="Arial" w:cs="Arial"/>
          <w:sz w:val="18"/>
          <w:szCs w:val="18"/>
        </w:rPr>
        <w:t xml:space="preserve"> Trading of</w:t>
      </w:r>
      <w:r w:rsidR="006D49FA">
        <w:rPr>
          <w:rFonts w:ascii="Arial" w:hAnsi="Arial" w:cs="Arial" w:hint="eastAsia"/>
          <w:sz w:val="18"/>
          <w:szCs w:val="18"/>
        </w:rPr>
        <w:t xml:space="preserve"> New Taiwan Dollar Denominated</w:t>
      </w:r>
      <w:r w:rsidRPr="00584CAA">
        <w:rPr>
          <w:rFonts w:ascii="Arial" w:hAnsi="Arial" w:cs="Arial"/>
          <w:sz w:val="18"/>
          <w:szCs w:val="18"/>
        </w:rPr>
        <w:t xml:space="preserve"> </w:t>
      </w:r>
      <w:r w:rsidR="00374061">
        <w:rPr>
          <w:rFonts w:ascii="Arial" w:hAnsi="Arial" w:cs="Arial"/>
          <w:sz w:val="18"/>
          <w:szCs w:val="18"/>
        </w:rPr>
        <w:t>Foreign</w:t>
      </w:r>
      <w:r w:rsidRPr="00584CAA">
        <w:rPr>
          <w:rFonts w:ascii="Arial" w:hAnsi="Arial" w:cs="Arial"/>
          <w:sz w:val="18"/>
          <w:szCs w:val="18"/>
        </w:rPr>
        <w:t xml:space="preserve"> Bonds, after </w:t>
      </w:r>
      <w:r w:rsidR="00840C6C">
        <w:rPr>
          <w:rFonts w:ascii="Arial" w:hAnsi="Arial" w:cs="Arial" w:hint="eastAsia"/>
          <w:sz w:val="18"/>
          <w:szCs w:val="18"/>
        </w:rPr>
        <w:t xml:space="preserve">receiving </w:t>
      </w:r>
      <w:r w:rsidRPr="00584CAA">
        <w:rPr>
          <w:rFonts w:ascii="Arial" w:hAnsi="Arial" w:cs="Arial"/>
          <w:sz w:val="18"/>
          <w:szCs w:val="18"/>
        </w:rPr>
        <w:t xml:space="preserve">approval by the </w:t>
      </w:r>
      <w:r>
        <w:rPr>
          <w:rFonts w:ascii="Arial" w:hAnsi="Arial" w:cs="Arial"/>
          <w:sz w:val="18"/>
          <w:szCs w:val="18"/>
        </w:rPr>
        <w:t>TPEx</w:t>
      </w:r>
      <w:r w:rsidRPr="00584CAA">
        <w:rPr>
          <w:rFonts w:ascii="Arial" w:hAnsi="Arial" w:cs="Arial"/>
          <w:sz w:val="18"/>
          <w:szCs w:val="18"/>
        </w:rPr>
        <w:t>, shall constitute a</w:t>
      </w:r>
      <w:r w:rsidR="00E03969">
        <w:rPr>
          <w:rFonts w:ascii="Arial" w:hAnsi="Arial" w:cs="Arial" w:hint="eastAsia"/>
          <w:sz w:val="18"/>
          <w:szCs w:val="18"/>
        </w:rPr>
        <w:t>n integral</w:t>
      </w:r>
      <w:r w:rsidRPr="00584CAA">
        <w:rPr>
          <w:rFonts w:ascii="Arial" w:hAnsi="Arial" w:cs="Arial"/>
          <w:sz w:val="18"/>
          <w:szCs w:val="18"/>
        </w:rPr>
        <w:t xml:space="preserve"> part of this Contract.</w:t>
      </w:r>
    </w:p>
    <w:p w:rsidR="00A17570" w:rsidRPr="00584CAA" w:rsidRDefault="00A17570" w:rsidP="006D49FA">
      <w:pPr>
        <w:pStyle w:val="a9"/>
        <w:adjustRightInd w:val="0"/>
        <w:snapToGrid w:val="0"/>
        <w:spacing w:line="380" w:lineRule="exact"/>
        <w:ind w:left="902" w:hangingChars="501" w:hanging="902"/>
        <w:jc w:val="both"/>
        <w:rPr>
          <w:rFonts w:ascii="Times New Roman" w:eastAsia="標楷體" w:hAnsi="Times New Roman"/>
          <w:sz w:val="18"/>
          <w:szCs w:val="18"/>
        </w:rPr>
      </w:pPr>
      <w:r w:rsidRPr="00584CAA">
        <w:rPr>
          <w:rFonts w:ascii="Arial" w:hAnsi="Arial" w:cs="Arial" w:hint="eastAsia"/>
          <w:sz w:val="18"/>
          <w:szCs w:val="18"/>
        </w:rPr>
        <w:t>Article 2</w:t>
      </w:r>
      <w:r w:rsidR="006D49FA">
        <w:rPr>
          <w:rFonts w:ascii="Times New Roman" w:eastAsia="標楷體" w:hAnsi="Times New Roman" w:hint="eastAsia"/>
          <w:sz w:val="18"/>
          <w:szCs w:val="18"/>
        </w:rPr>
        <w:t xml:space="preserve">   </w:t>
      </w:r>
      <w:r w:rsidRPr="00584CAA">
        <w:rPr>
          <w:rFonts w:ascii="Arial" w:hAnsi="Arial" w:cs="Arial"/>
          <w:sz w:val="18"/>
          <w:szCs w:val="18"/>
        </w:rPr>
        <w:t>Securities</w:t>
      </w:r>
      <w:r w:rsidR="00E03969">
        <w:rPr>
          <w:rFonts w:ascii="Arial" w:hAnsi="Arial" w:cs="Arial" w:hint="eastAsia"/>
          <w:sz w:val="18"/>
          <w:szCs w:val="18"/>
        </w:rPr>
        <w:t>-</w:t>
      </w:r>
      <w:r w:rsidRPr="00584CAA">
        <w:rPr>
          <w:rFonts w:ascii="Arial" w:hAnsi="Arial" w:cs="Arial"/>
          <w:sz w:val="18"/>
          <w:szCs w:val="18"/>
        </w:rPr>
        <w:t xml:space="preserve">related laws and regulations and the rules and announcements of the </w:t>
      </w:r>
      <w:r>
        <w:rPr>
          <w:rFonts w:ascii="Arial" w:hAnsi="Arial" w:cs="Arial"/>
          <w:sz w:val="18"/>
          <w:szCs w:val="18"/>
        </w:rPr>
        <w:t>TPEx</w:t>
      </w:r>
      <w:r w:rsidRPr="00584CAA">
        <w:rPr>
          <w:rFonts w:ascii="Arial" w:hAnsi="Arial" w:cs="Arial"/>
          <w:sz w:val="18"/>
          <w:szCs w:val="18"/>
        </w:rPr>
        <w:t xml:space="preserve"> </w:t>
      </w:r>
      <w:r w:rsidR="00E03969">
        <w:rPr>
          <w:rFonts w:ascii="Arial" w:hAnsi="Arial" w:cs="Arial" w:hint="eastAsia"/>
          <w:sz w:val="18"/>
          <w:szCs w:val="18"/>
        </w:rPr>
        <w:t xml:space="preserve">are an integral </w:t>
      </w:r>
      <w:r w:rsidRPr="00584CAA">
        <w:rPr>
          <w:rFonts w:ascii="Arial" w:hAnsi="Arial" w:cs="Arial"/>
          <w:sz w:val="18"/>
          <w:szCs w:val="18"/>
        </w:rPr>
        <w:t>part of th</w:t>
      </w:r>
      <w:r w:rsidR="006D49FA">
        <w:rPr>
          <w:rFonts w:ascii="Arial" w:hAnsi="Arial" w:cs="Arial" w:hint="eastAsia"/>
          <w:sz w:val="18"/>
          <w:szCs w:val="18"/>
        </w:rPr>
        <w:t>is</w:t>
      </w:r>
      <w:r w:rsidRPr="00584CAA">
        <w:rPr>
          <w:rFonts w:ascii="Arial" w:hAnsi="Arial" w:cs="Arial"/>
          <w:sz w:val="18"/>
          <w:szCs w:val="18"/>
        </w:rPr>
        <w:t xml:space="preserve"> Contract, </w:t>
      </w:r>
      <w:r w:rsidR="00E03969">
        <w:rPr>
          <w:rFonts w:ascii="Arial" w:hAnsi="Arial" w:cs="Arial" w:hint="eastAsia"/>
          <w:sz w:val="18"/>
          <w:szCs w:val="18"/>
        </w:rPr>
        <w:t xml:space="preserve">and the </w:t>
      </w:r>
      <w:r w:rsidRPr="00584CAA">
        <w:rPr>
          <w:rFonts w:ascii="Arial" w:hAnsi="Arial" w:cs="Arial"/>
          <w:sz w:val="18"/>
          <w:szCs w:val="18"/>
        </w:rPr>
        <w:t>Issuer</w:t>
      </w:r>
      <w:r w:rsidR="00840C6C">
        <w:rPr>
          <w:rFonts w:ascii="Arial" w:hAnsi="Arial" w:cs="Arial" w:hint="eastAsia"/>
          <w:sz w:val="18"/>
          <w:szCs w:val="18"/>
        </w:rPr>
        <w:t xml:space="preserve"> </w:t>
      </w:r>
      <w:r w:rsidR="00FA271D">
        <w:rPr>
          <w:rFonts w:ascii="Arial" w:hAnsi="Arial" w:cs="Arial" w:hint="eastAsia"/>
          <w:sz w:val="18"/>
          <w:szCs w:val="18"/>
        </w:rPr>
        <w:t xml:space="preserve">and </w:t>
      </w:r>
      <w:r w:rsidR="006D49FA">
        <w:rPr>
          <w:rFonts w:ascii="Arial" w:hAnsi="Arial" w:cs="Arial" w:hint="eastAsia"/>
          <w:sz w:val="18"/>
          <w:szCs w:val="18"/>
        </w:rPr>
        <w:t>Agent</w:t>
      </w:r>
      <w:r w:rsidR="00840C6C">
        <w:rPr>
          <w:rFonts w:ascii="Arial" w:hAnsi="Arial" w:cs="Arial" w:hint="eastAsia"/>
          <w:sz w:val="18"/>
          <w:szCs w:val="18"/>
        </w:rPr>
        <w:t xml:space="preserve"> </w:t>
      </w:r>
      <w:r w:rsidRPr="00584CAA">
        <w:rPr>
          <w:rFonts w:ascii="Arial" w:hAnsi="Arial" w:cs="Arial"/>
          <w:sz w:val="18"/>
          <w:szCs w:val="18"/>
        </w:rPr>
        <w:t xml:space="preserve">and the </w:t>
      </w:r>
      <w:r>
        <w:rPr>
          <w:rFonts w:ascii="Arial" w:hAnsi="Arial" w:cs="Arial"/>
          <w:sz w:val="18"/>
          <w:szCs w:val="18"/>
        </w:rPr>
        <w:t>TPEx</w:t>
      </w:r>
      <w:r w:rsidRPr="00584CAA">
        <w:rPr>
          <w:rFonts w:ascii="Arial" w:hAnsi="Arial" w:cs="Arial"/>
          <w:sz w:val="18"/>
          <w:szCs w:val="18"/>
        </w:rPr>
        <w:t xml:space="preserve"> </w:t>
      </w:r>
      <w:r w:rsidR="00E03969">
        <w:rPr>
          <w:rFonts w:ascii="Arial" w:hAnsi="Arial" w:cs="Arial" w:hint="eastAsia"/>
          <w:sz w:val="18"/>
          <w:szCs w:val="18"/>
        </w:rPr>
        <w:t xml:space="preserve">all </w:t>
      </w:r>
      <w:r w:rsidRPr="00584CAA">
        <w:rPr>
          <w:rFonts w:ascii="Arial" w:hAnsi="Arial" w:cs="Arial"/>
          <w:sz w:val="18"/>
          <w:szCs w:val="18"/>
        </w:rPr>
        <w:t>shall</w:t>
      </w:r>
      <w:r w:rsidR="00E03969">
        <w:rPr>
          <w:rFonts w:ascii="Arial" w:hAnsi="Arial" w:cs="Arial" w:hint="eastAsia"/>
          <w:sz w:val="18"/>
          <w:szCs w:val="18"/>
        </w:rPr>
        <w:t xml:space="preserve"> comply with them</w:t>
      </w:r>
      <w:r w:rsidRPr="00584CAA">
        <w:rPr>
          <w:rFonts w:ascii="Arial" w:hAnsi="Arial" w:cs="Arial"/>
          <w:sz w:val="18"/>
          <w:szCs w:val="18"/>
        </w:rPr>
        <w:t>.</w:t>
      </w:r>
    </w:p>
    <w:p w:rsidR="006D49FA" w:rsidRDefault="00A17570" w:rsidP="00A17570">
      <w:pPr>
        <w:pStyle w:val="a9"/>
        <w:adjustRightInd w:val="0"/>
        <w:snapToGrid w:val="0"/>
        <w:spacing w:line="380" w:lineRule="exact"/>
        <w:ind w:left="902" w:hangingChars="501" w:hanging="902"/>
        <w:jc w:val="both"/>
        <w:rPr>
          <w:rFonts w:ascii="Arial" w:eastAsia="Arial Unicode MS" w:hAnsi="Arial" w:cs="Arial"/>
          <w:sz w:val="18"/>
          <w:szCs w:val="18"/>
        </w:rPr>
      </w:pPr>
      <w:r w:rsidRPr="00584CAA">
        <w:rPr>
          <w:rFonts w:ascii="Arial" w:hAnsi="Arial" w:cs="Arial" w:hint="eastAsia"/>
          <w:sz w:val="18"/>
          <w:szCs w:val="18"/>
        </w:rPr>
        <w:t>Article 3</w:t>
      </w:r>
      <w:r w:rsidRPr="00584CAA">
        <w:rPr>
          <w:rFonts w:ascii="Times New Roman" w:eastAsia="標楷體" w:hAnsi="Times New Roman" w:hint="eastAsia"/>
          <w:sz w:val="18"/>
          <w:szCs w:val="18"/>
        </w:rPr>
        <w:t xml:space="preserve">  </w:t>
      </w:r>
      <w:r w:rsidR="006644FC">
        <w:rPr>
          <w:rFonts w:ascii="Times New Roman" w:eastAsia="標楷體" w:hAnsi="Times New Roman" w:hint="eastAsia"/>
          <w:sz w:val="18"/>
          <w:szCs w:val="18"/>
        </w:rPr>
        <w:t xml:space="preserve"> </w:t>
      </w:r>
      <w:r w:rsidR="00E32A4F" w:rsidRPr="00E32A4F">
        <w:rPr>
          <w:rFonts w:ascii="Arial" w:eastAsia="標楷體" w:hAnsi="Arial" w:cs="Arial"/>
          <w:sz w:val="18"/>
          <w:szCs w:val="18"/>
        </w:rPr>
        <w:t>When t</w:t>
      </w:r>
      <w:r w:rsidR="006D49FA" w:rsidRPr="00E32A4F">
        <w:rPr>
          <w:rFonts w:ascii="Arial" w:eastAsia="Arial Unicode MS" w:hAnsi="Arial" w:cs="Arial"/>
          <w:sz w:val="18"/>
          <w:szCs w:val="18"/>
        </w:rPr>
        <w:t xml:space="preserve">he Issuer and Agent apply for </w:t>
      </w:r>
      <w:r w:rsidR="00E32A4F">
        <w:rPr>
          <w:rFonts w:ascii="Arial" w:eastAsia="Arial Unicode MS" w:hAnsi="Arial" w:cs="Arial" w:hint="eastAsia"/>
          <w:sz w:val="18"/>
          <w:szCs w:val="18"/>
        </w:rPr>
        <w:t xml:space="preserve">trading of </w:t>
      </w:r>
      <w:r w:rsidR="00FA271D">
        <w:rPr>
          <w:rFonts w:ascii="Arial" w:eastAsia="Arial Unicode MS" w:hAnsi="Arial" w:cs="Arial"/>
          <w:sz w:val="18"/>
          <w:szCs w:val="18"/>
        </w:rPr>
        <w:t>New Taiwan dollar denominated</w:t>
      </w:r>
      <w:r w:rsidR="006D49FA" w:rsidRPr="00E32A4F">
        <w:rPr>
          <w:rFonts w:ascii="Arial" w:eastAsia="Arial Unicode MS" w:hAnsi="Arial" w:cs="Arial"/>
          <w:sz w:val="18"/>
          <w:szCs w:val="18"/>
        </w:rPr>
        <w:t xml:space="preserve"> </w:t>
      </w:r>
      <w:r w:rsidR="00374061" w:rsidRPr="00E32A4F">
        <w:rPr>
          <w:rFonts w:ascii="Arial" w:eastAsia="Arial Unicode MS" w:hAnsi="Arial" w:cs="Arial"/>
          <w:sz w:val="18"/>
          <w:szCs w:val="18"/>
        </w:rPr>
        <w:t>foreign</w:t>
      </w:r>
      <w:r w:rsidR="006D49FA" w:rsidRPr="00E32A4F">
        <w:rPr>
          <w:rFonts w:ascii="Arial" w:eastAsia="Arial Unicode MS" w:hAnsi="Arial" w:cs="Arial"/>
          <w:sz w:val="18"/>
          <w:szCs w:val="18"/>
        </w:rPr>
        <w:t xml:space="preserve"> bonds on the TP</w:t>
      </w:r>
      <w:r w:rsidR="006644FC" w:rsidRPr="00E32A4F">
        <w:rPr>
          <w:rFonts w:ascii="Arial" w:eastAsia="Arial Unicode MS" w:hAnsi="Arial" w:cs="Arial"/>
          <w:sz w:val="18"/>
          <w:szCs w:val="18"/>
        </w:rPr>
        <w:t xml:space="preserve">Ex, the TPEx will </w:t>
      </w:r>
      <w:r w:rsidR="00E32A4F">
        <w:rPr>
          <w:rFonts w:ascii="Arial" w:eastAsia="Arial Unicode MS" w:hAnsi="Arial" w:cs="Arial" w:hint="eastAsia"/>
          <w:sz w:val="18"/>
          <w:szCs w:val="18"/>
        </w:rPr>
        <w:t xml:space="preserve">review </w:t>
      </w:r>
      <w:r w:rsidR="006644FC" w:rsidRPr="00E32A4F">
        <w:rPr>
          <w:rFonts w:ascii="Arial" w:eastAsia="Arial Unicode MS" w:hAnsi="Arial" w:cs="Arial"/>
          <w:sz w:val="18"/>
          <w:szCs w:val="18"/>
        </w:rPr>
        <w:t xml:space="preserve">the application in accordance </w:t>
      </w:r>
      <w:r w:rsidR="00840C6C" w:rsidRPr="00E32A4F">
        <w:rPr>
          <w:rFonts w:ascii="Arial" w:eastAsia="Arial Unicode MS" w:hAnsi="Arial" w:cs="Arial"/>
          <w:sz w:val="18"/>
          <w:szCs w:val="18"/>
        </w:rPr>
        <w:t xml:space="preserve">with the Taipei </w:t>
      </w:r>
      <w:r w:rsidR="006644FC" w:rsidRPr="00E32A4F">
        <w:rPr>
          <w:rFonts w:ascii="Arial" w:eastAsia="Arial Unicode MS" w:hAnsi="Arial" w:cs="Arial"/>
          <w:sz w:val="18"/>
          <w:szCs w:val="18"/>
        </w:rPr>
        <w:t>Exchange Rules Governing the Review of Foreign Securities for Trading on the TPEx.</w:t>
      </w:r>
    </w:p>
    <w:p w:rsidR="00A17570" w:rsidRPr="00584CAA" w:rsidRDefault="00A17570" w:rsidP="00C43D1E">
      <w:pPr>
        <w:pStyle w:val="a9"/>
        <w:adjustRightInd w:val="0"/>
        <w:snapToGrid w:val="0"/>
        <w:spacing w:line="380" w:lineRule="exact"/>
        <w:ind w:left="902" w:hangingChars="501" w:hanging="902"/>
        <w:jc w:val="both"/>
        <w:rPr>
          <w:rFonts w:ascii="Times New Roman" w:eastAsia="標楷體" w:hAnsi="Times New Roman"/>
          <w:sz w:val="18"/>
          <w:szCs w:val="18"/>
        </w:rPr>
      </w:pPr>
      <w:r w:rsidRPr="00584CAA">
        <w:rPr>
          <w:rFonts w:ascii="Arial" w:hAnsi="Arial" w:cs="Arial" w:hint="eastAsia"/>
          <w:sz w:val="18"/>
          <w:szCs w:val="18"/>
        </w:rPr>
        <w:t>Article 4</w:t>
      </w:r>
      <w:r w:rsidRPr="00584CAA">
        <w:rPr>
          <w:rFonts w:ascii="Times New Roman" w:eastAsia="標楷體" w:hAnsi="Times New Roman" w:hint="eastAsia"/>
          <w:sz w:val="18"/>
          <w:szCs w:val="18"/>
        </w:rPr>
        <w:t xml:space="preserve">   </w:t>
      </w:r>
      <w:r w:rsidR="006644FC" w:rsidRPr="00584CAA">
        <w:rPr>
          <w:rFonts w:ascii="Arial" w:hAnsi="Arial" w:cs="Arial"/>
          <w:sz w:val="18"/>
          <w:szCs w:val="18"/>
        </w:rPr>
        <w:t xml:space="preserve">After the signing of this Contract, the Issuer </w:t>
      </w:r>
      <w:r w:rsidR="00ED1D88">
        <w:rPr>
          <w:rFonts w:ascii="Arial" w:hAnsi="Arial" w:cs="Arial" w:hint="eastAsia"/>
          <w:sz w:val="18"/>
          <w:szCs w:val="18"/>
        </w:rPr>
        <w:t xml:space="preserve">and Agent, at the time of initial trading of the </w:t>
      </w:r>
      <w:r w:rsidR="00FA271D">
        <w:rPr>
          <w:rFonts w:ascii="Arial" w:hAnsi="Arial" w:cs="Arial" w:hint="eastAsia"/>
          <w:sz w:val="18"/>
          <w:szCs w:val="18"/>
        </w:rPr>
        <w:t>New Taiwan dollar denominated</w:t>
      </w:r>
      <w:r w:rsidR="006644FC" w:rsidRPr="006644FC">
        <w:rPr>
          <w:rFonts w:ascii="Arial" w:hAnsi="Arial" w:cs="Arial"/>
          <w:sz w:val="18"/>
          <w:szCs w:val="18"/>
        </w:rPr>
        <w:t xml:space="preserve"> </w:t>
      </w:r>
      <w:r w:rsidR="00374061">
        <w:rPr>
          <w:rFonts w:ascii="Arial" w:hAnsi="Arial" w:cs="Arial"/>
          <w:sz w:val="18"/>
          <w:szCs w:val="18"/>
        </w:rPr>
        <w:t>foreign</w:t>
      </w:r>
      <w:r w:rsidR="006644FC" w:rsidRPr="00584CAA">
        <w:rPr>
          <w:rFonts w:ascii="Arial" w:hAnsi="Arial" w:cs="Arial"/>
          <w:sz w:val="18"/>
          <w:szCs w:val="18"/>
        </w:rPr>
        <w:t xml:space="preserve"> bonds on the </w:t>
      </w:r>
      <w:r w:rsidR="006644FC">
        <w:rPr>
          <w:rFonts w:ascii="Arial" w:hAnsi="Arial" w:cs="Arial"/>
          <w:sz w:val="18"/>
          <w:szCs w:val="18"/>
        </w:rPr>
        <w:t>TPEx</w:t>
      </w:r>
      <w:r w:rsidR="00ED1D88">
        <w:rPr>
          <w:rFonts w:ascii="Arial" w:hAnsi="Arial" w:cs="Arial" w:hint="eastAsia"/>
          <w:sz w:val="18"/>
          <w:szCs w:val="18"/>
        </w:rPr>
        <w:t xml:space="preserve"> and </w:t>
      </w:r>
      <w:r w:rsidR="006644FC" w:rsidRPr="00584CAA">
        <w:rPr>
          <w:rFonts w:ascii="Arial" w:hAnsi="Arial" w:cs="Arial"/>
          <w:sz w:val="18"/>
          <w:szCs w:val="18"/>
        </w:rPr>
        <w:t>within the first month of each year thereafter</w:t>
      </w:r>
      <w:r w:rsidR="00ED1D88">
        <w:rPr>
          <w:rFonts w:ascii="Arial" w:hAnsi="Arial" w:cs="Arial" w:hint="eastAsia"/>
          <w:sz w:val="18"/>
          <w:szCs w:val="18"/>
        </w:rPr>
        <w:t xml:space="preserve">, </w:t>
      </w:r>
      <w:r w:rsidR="00ED1D88" w:rsidRPr="00584CAA">
        <w:rPr>
          <w:rFonts w:ascii="Arial" w:hAnsi="Arial" w:cs="Arial"/>
          <w:sz w:val="18"/>
          <w:szCs w:val="18"/>
        </w:rPr>
        <w:t xml:space="preserve">shall pay </w:t>
      </w:r>
      <w:r w:rsidR="00ED1D88">
        <w:rPr>
          <w:rFonts w:ascii="Arial" w:hAnsi="Arial" w:cs="Arial"/>
          <w:sz w:val="18"/>
          <w:szCs w:val="18"/>
        </w:rPr>
        <w:t>TPEx</w:t>
      </w:r>
      <w:r w:rsidR="00ED1D88" w:rsidRPr="00584CAA">
        <w:rPr>
          <w:rFonts w:ascii="Arial" w:hAnsi="Arial" w:cs="Arial"/>
          <w:sz w:val="18"/>
          <w:szCs w:val="18"/>
        </w:rPr>
        <w:t xml:space="preserve"> </w:t>
      </w:r>
      <w:r w:rsidR="00ED1D88">
        <w:rPr>
          <w:rFonts w:ascii="Arial" w:hAnsi="Arial" w:cs="Arial" w:hint="eastAsia"/>
          <w:sz w:val="18"/>
          <w:szCs w:val="18"/>
        </w:rPr>
        <w:t xml:space="preserve">securities trading </w:t>
      </w:r>
      <w:r w:rsidR="00ED1D88" w:rsidRPr="00584CAA">
        <w:rPr>
          <w:rFonts w:ascii="Arial" w:hAnsi="Arial" w:cs="Arial"/>
          <w:sz w:val="18"/>
          <w:szCs w:val="18"/>
        </w:rPr>
        <w:t xml:space="preserve">fees </w:t>
      </w:r>
      <w:r w:rsidR="000A74BD">
        <w:rPr>
          <w:rFonts w:ascii="Arial" w:hAnsi="Arial" w:cs="Arial" w:hint="eastAsia"/>
          <w:sz w:val="18"/>
          <w:szCs w:val="18"/>
        </w:rPr>
        <w:t xml:space="preserve">for those bonds </w:t>
      </w:r>
      <w:r w:rsidR="00ED1D88">
        <w:rPr>
          <w:rFonts w:ascii="Arial" w:hAnsi="Arial" w:cs="Arial" w:hint="eastAsia"/>
          <w:sz w:val="18"/>
          <w:szCs w:val="18"/>
        </w:rPr>
        <w:t xml:space="preserve">in accordance with the </w:t>
      </w:r>
      <w:r w:rsidR="00ED1D88" w:rsidRPr="00ED1D88">
        <w:rPr>
          <w:rFonts w:ascii="Arial" w:hAnsi="Arial" w:cs="Arial"/>
          <w:sz w:val="18"/>
          <w:szCs w:val="18"/>
        </w:rPr>
        <w:t>Taipei Exchange Securities Listing Fee Rates</w:t>
      </w:r>
      <w:r w:rsidR="006644FC" w:rsidRPr="00584CAA">
        <w:rPr>
          <w:rFonts w:ascii="Arial" w:hAnsi="Arial" w:cs="Arial"/>
          <w:sz w:val="18"/>
          <w:szCs w:val="18"/>
        </w:rPr>
        <w:t>.</w:t>
      </w:r>
    </w:p>
    <w:p w:rsidR="00C43D1E" w:rsidRDefault="00A17570" w:rsidP="006D49FA">
      <w:pPr>
        <w:pStyle w:val="a9"/>
        <w:adjustRightInd w:val="0"/>
        <w:snapToGrid w:val="0"/>
        <w:spacing w:line="380" w:lineRule="exact"/>
        <w:ind w:left="902" w:hangingChars="501" w:hanging="902"/>
        <w:jc w:val="both"/>
        <w:rPr>
          <w:rFonts w:ascii="Times New Roman" w:eastAsia="標楷體" w:hAnsi="Times New Roman"/>
          <w:sz w:val="18"/>
          <w:szCs w:val="18"/>
        </w:rPr>
      </w:pPr>
      <w:r w:rsidRPr="00584CAA">
        <w:rPr>
          <w:rFonts w:ascii="Arial" w:hAnsi="Arial" w:cs="Arial"/>
          <w:sz w:val="18"/>
          <w:szCs w:val="18"/>
        </w:rPr>
        <w:t>Article 5</w:t>
      </w:r>
      <w:r w:rsidRPr="00584CAA">
        <w:rPr>
          <w:rFonts w:ascii="Times New Roman" w:eastAsia="標楷體" w:hAnsi="Times New Roman"/>
          <w:sz w:val="18"/>
          <w:szCs w:val="18"/>
        </w:rPr>
        <w:tab/>
      </w:r>
      <w:r w:rsidR="00C43D1E" w:rsidRPr="00584CAA">
        <w:rPr>
          <w:rFonts w:ascii="Arial" w:hAnsi="Arial" w:cs="Arial"/>
          <w:sz w:val="18"/>
          <w:szCs w:val="18"/>
        </w:rPr>
        <w:t xml:space="preserve">The </w:t>
      </w:r>
      <w:r w:rsidR="00C43D1E">
        <w:rPr>
          <w:rFonts w:ascii="Arial" w:hAnsi="Arial" w:cs="Arial"/>
          <w:sz w:val="18"/>
          <w:szCs w:val="18"/>
        </w:rPr>
        <w:t>TPEx</w:t>
      </w:r>
      <w:r w:rsidR="00C43D1E" w:rsidRPr="00584CAA">
        <w:rPr>
          <w:rFonts w:ascii="Arial" w:hAnsi="Arial" w:cs="Arial"/>
          <w:sz w:val="18"/>
          <w:szCs w:val="18"/>
        </w:rPr>
        <w:t>, on the basis of related laws, regulations</w:t>
      </w:r>
      <w:r w:rsidR="00C43D1E">
        <w:rPr>
          <w:rFonts w:ascii="Arial" w:hAnsi="Arial" w:cs="Arial" w:hint="eastAsia"/>
          <w:sz w:val="18"/>
          <w:szCs w:val="18"/>
        </w:rPr>
        <w:t>,</w:t>
      </w:r>
      <w:r w:rsidR="00C43D1E" w:rsidRPr="00584CAA">
        <w:rPr>
          <w:rFonts w:ascii="Arial" w:hAnsi="Arial" w:cs="Arial"/>
          <w:sz w:val="18"/>
          <w:szCs w:val="18"/>
        </w:rPr>
        <w:t xml:space="preserve"> and </w:t>
      </w:r>
      <w:r w:rsidR="00C43D1E">
        <w:rPr>
          <w:rFonts w:ascii="Arial" w:hAnsi="Arial" w:cs="Arial"/>
          <w:sz w:val="18"/>
          <w:szCs w:val="18"/>
        </w:rPr>
        <w:t>TPEx</w:t>
      </w:r>
      <w:r w:rsidR="00C43D1E" w:rsidRPr="00584CAA">
        <w:rPr>
          <w:rFonts w:ascii="Arial" w:hAnsi="Arial" w:cs="Arial"/>
          <w:sz w:val="18"/>
          <w:szCs w:val="18"/>
        </w:rPr>
        <w:t xml:space="preserve"> rules, or as it deems necessary for other reasons, may </w:t>
      </w:r>
      <w:r w:rsidR="00813FA6">
        <w:rPr>
          <w:rFonts w:ascii="Arial" w:hAnsi="Arial" w:cs="Arial" w:hint="eastAsia"/>
          <w:sz w:val="18"/>
          <w:szCs w:val="18"/>
        </w:rPr>
        <w:t>modify</w:t>
      </w:r>
      <w:r w:rsidR="00C43D1E">
        <w:rPr>
          <w:rFonts w:ascii="Arial" w:hAnsi="Arial" w:cs="Arial" w:hint="eastAsia"/>
          <w:sz w:val="18"/>
          <w:szCs w:val="18"/>
        </w:rPr>
        <w:t xml:space="preserve"> the </w:t>
      </w:r>
      <w:r w:rsidR="00813FA6">
        <w:rPr>
          <w:rFonts w:ascii="Arial" w:hAnsi="Arial" w:cs="Arial" w:hint="eastAsia"/>
          <w:sz w:val="18"/>
          <w:szCs w:val="18"/>
        </w:rPr>
        <w:t xml:space="preserve">trading method or </w:t>
      </w:r>
      <w:r w:rsidR="00FA271D">
        <w:rPr>
          <w:rFonts w:ascii="Arial" w:hAnsi="Arial" w:cs="Arial" w:hint="eastAsia"/>
          <w:sz w:val="18"/>
          <w:szCs w:val="18"/>
        </w:rPr>
        <w:t xml:space="preserve">suspend </w:t>
      </w:r>
      <w:r w:rsidR="00C43D1E">
        <w:rPr>
          <w:rFonts w:ascii="Arial" w:hAnsi="Arial" w:cs="Arial" w:hint="eastAsia"/>
          <w:sz w:val="18"/>
          <w:szCs w:val="18"/>
        </w:rPr>
        <w:t xml:space="preserve">or </w:t>
      </w:r>
      <w:r w:rsidR="00C43D1E" w:rsidRPr="00584CAA">
        <w:rPr>
          <w:rFonts w:ascii="Arial" w:hAnsi="Arial" w:cs="Arial"/>
          <w:sz w:val="18"/>
          <w:szCs w:val="18"/>
        </w:rPr>
        <w:t xml:space="preserve">terminate the </w:t>
      </w:r>
      <w:r w:rsidR="00C43D1E">
        <w:rPr>
          <w:rFonts w:ascii="Arial" w:hAnsi="Arial" w:cs="Arial" w:hint="eastAsia"/>
          <w:sz w:val="18"/>
          <w:szCs w:val="18"/>
        </w:rPr>
        <w:t>trading</w:t>
      </w:r>
      <w:r w:rsidR="00C43D1E" w:rsidRPr="00584CAA">
        <w:rPr>
          <w:rFonts w:ascii="Arial" w:hAnsi="Arial" w:cs="Arial"/>
          <w:sz w:val="18"/>
          <w:szCs w:val="18"/>
        </w:rPr>
        <w:t xml:space="preserve"> of</w:t>
      </w:r>
      <w:r w:rsidR="00C43D1E">
        <w:rPr>
          <w:rFonts w:ascii="Arial" w:hAnsi="Arial" w:cs="Arial" w:hint="eastAsia"/>
          <w:sz w:val="18"/>
          <w:szCs w:val="18"/>
        </w:rPr>
        <w:t xml:space="preserve"> </w:t>
      </w:r>
      <w:r w:rsidR="00FA271D">
        <w:rPr>
          <w:rFonts w:ascii="Arial" w:hAnsi="Arial" w:cs="Arial" w:hint="eastAsia"/>
          <w:sz w:val="18"/>
          <w:szCs w:val="18"/>
        </w:rPr>
        <w:t>New Taiwan dollar denominated</w:t>
      </w:r>
      <w:r w:rsidR="00C43D1E" w:rsidRPr="00584CAA">
        <w:rPr>
          <w:rFonts w:ascii="Arial" w:hAnsi="Arial" w:cs="Arial"/>
          <w:sz w:val="18"/>
          <w:szCs w:val="18"/>
        </w:rPr>
        <w:t xml:space="preserve"> </w:t>
      </w:r>
      <w:r w:rsidR="00374061">
        <w:rPr>
          <w:rFonts w:ascii="Arial" w:hAnsi="Arial" w:cs="Arial"/>
          <w:sz w:val="18"/>
          <w:szCs w:val="18"/>
        </w:rPr>
        <w:t>foreign</w:t>
      </w:r>
      <w:r w:rsidR="00C43D1E" w:rsidRPr="00584CAA">
        <w:rPr>
          <w:rFonts w:ascii="Arial" w:hAnsi="Arial" w:cs="Arial"/>
          <w:sz w:val="18"/>
          <w:szCs w:val="18"/>
        </w:rPr>
        <w:t xml:space="preserve"> bonds on the </w:t>
      </w:r>
      <w:r w:rsidR="00C43D1E">
        <w:rPr>
          <w:rFonts w:ascii="Arial" w:hAnsi="Arial" w:cs="Arial"/>
          <w:sz w:val="18"/>
          <w:szCs w:val="18"/>
        </w:rPr>
        <w:t>TPEx</w:t>
      </w:r>
      <w:r w:rsidR="00C43D1E" w:rsidRPr="00584CAA">
        <w:rPr>
          <w:rFonts w:ascii="Arial" w:hAnsi="Arial" w:cs="Arial"/>
          <w:sz w:val="18"/>
          <w:szCs w:val="18"/>
        </w:rPr>
        <w:t>.</w:t>
      </w:r>
      <w:r w:rsidR="00C43D1E">
        <w:rPr>
          <w:rFonts w:ascii="Arial" w:hAnsi="Arial" w:cs="Arial" w:hint="eastAsia"/>
          <w:sz w:val="18"/>
          <w:szCs w:val="18"/>
        </w:rPr>
        <w:t xml:space="preserve"> When the</w:t>
      </w:r>
      <w:r w:rsidR="00014890">
        <w:rPr>
          <w:rFonts w:ascii="Arial" w:hAnsi="Arial" w:cs="Arial" w:hint="eastAsia"/>
          <w:sz w:val="18"/>
          <w:szCs w:val="18"/>
        </w:rPr>
        <w:t xml:space="preserve"> principal </w:t>
      </w:r>
      <w:r w:rsidR="00FA271D">
        <w:rPr>
          <w:rFonts w:ascii="Arial" w:hAnsi="Arial" w:cs="Arial" w:hint="eastAsia"/>
          <w:sz w:val="18"/>
          <w:szCs w:val="18"/>
        </w:rPr>
        <w:t>of the New Taiwan dollar denominated</w:t>
      </w:r>
      <w:r w:rsidR="00014890">
        <w:rPr>
          <w:rFonts w:ascii="Arial" w:hAnsi="Arial" w:cs="Arial" w:hint="eastAsia"/>
          <w:sz w:val="18"/>
          <w:szCs w:val="18"/>
        </w:rPr>
        <w:t xml:space="preserve"> </w:t>
      </w:r>
      <w:r w:rsidR="00374061">
        <w:rPr>
          <w:rFonts w:ascii="Arial" w:hAnsi="Arial" w:cs="Arial" w:hint="eastAsia"/>
          <w:sz w:val="18"/>
          <w:szCs w:val="18"/>
        </w:rPr>
        <w:t>foreign</w:t>
      </w:r>
      <w:r w:rsidR="00014890">
        <w:rPr>
          <w:rFonts w:ascii="Arial" w:hAnsi="Arial" w:cs="Arial" w:hint="eastAsia"/>
          <w:sz w:val="18"/>
          <w:szCs w:val="18"/>
        </w:rPr>
        <w:t xml:space="preserve"> bonds</w:t>
      </w:r>
      <w:r w:rsidR="00C43D1E">
        <w:rPr>
          <w:rFonts w:ascii="Arial" w:hAnsi="Arial" w:cs="Arial" w:hint="eastAsia"/>
          <w:sz w:val="18"/>
          <w:szCs w:val="18"/>
        </w:rPr>
        <w:t xml:space="preserve"> </w:t>
      </w:r>
      <w:r w:rsidR="00FA271D">
        <w:rPr>
          <w:rFonts w:ascii="Arial" w:hAnsi="Arial" w:cs="Arial" w:hint="eastAsia"/>
          <w:sz w:val="18"/>
          <w:szCs w:val="18"/>
        </w:rPr>
        <w:t>is repaid at maturity</w:t>
      </w:r>
      <w:r w:rsidR="00014890">
        <w:rPr>
          <w:rFonts w:ascii="Arial" w:hAnsi="Arial" w:cs="Arial" w:hint="eastAsia"/>
          <w:sz w:val="18"/>
          <w:szCs w:val="18"/>
        </w:rPr>
        <w:t>, the TPEx may</w:t>
      </w:r>
      <w:r w:rsidR="00FA271D">
        <w:rPr>
          <w:rFonts w:ascii="Arial" w:hAnsi="Arial" w:cs="Arial" w:hint="eastAsia"/>
          <w:sz w:val="18"/>
          <w:szCs w:val="18"/>
        </w:rPr>
        <w:t xml:space="preserve"> </w:t>
      </w:r>
      <w:r w:rsidR="00FA271D" w:rsidRPr="00FA271D">
        <w:rPr>
          <w:rFonts w:ascii="Arial" w:hAnsi="Arial" w:cs="Arial"/>
          <w:sz w:val="18"/>
          <w:szCs w:val="18"/>
        </w:rPr>
        <w:t xml:space="preserve">proceed </w:t>
      </w:r>
      <w:r w:rsidR="00FA271D">
        <w:rPr>
          <w:rFonts w:ascii="Arial" w:hAnsi="Arial" w:cs="Arial" w:hint="eastAsia"/>
          <w:sz w:val="18"/>
          <w:szCs w:val="18"/>
        </w:rPr>
        <w:t xml:space="preserve">directly </w:t>
      </w:r>
      <w:r w:rsidR="00FA271D" w:rsidRPr="00FA271D">
        <w:rPr>
          <w:rFonts w:ascii="Arial" w:hAnsi="Arial" w:cs="Arial"/>
          <w:sz w:val="18"/>
          <w:szCs w:val="18"/>
        </w:rPr>
        <w:t xml:space="preserve">to publicly announce the termination of </w:t>
      </w:r>
      <w:r w:rsidR="00FA271D">
        <w:rPr>
          <w:rFonts w:ascii="Arial" w:hAnsi="Arial" w:cs="Arial" w:hint="eastAsia"/>
          <w:sz w:val="18"/>
          <w:szCs w:val="18"/>
        </w:rPr>
        <w:t xml:space="preserve">TPEx trading of </w:t>
      </w:r>
      <w:r w:rsidR="00FA271D" w:rsidRPr="00FA271D">
        <w:rPr>
          <w:rFonts w:ascii="Arial" w:hAnsi="Arial" w:cs="Arial"/>
          <w:sz w:val="18"/>
          <w:szCs w:val="18"/>
        </w:rPr>
        <w:t>th</w:t>
      </w:r>
      <w:r w:rsidR="00FA271D">
        <w:rPr>
          <w:rFonts w:ascii="Arial" w:hAnsi="Arial" w:cs="Arial" w:hint="eastAsia"/>
          <w:sz w:val="18"/>
          <w:szCs w:val="18"/>
        </w:rPr>
        <w:t>e</w:t>
      </w:r>
      <w:r w:rsidR="00FA271D" w:rsidRPr="00FA271D">
        <w:rPr>
          <w:rFonts w:ascii="Arial" w:hAnsi="Arial" w:cs="Arial"/>
          <w:sz w:val="18"/>
          <w:szCs w:val="18"/>
        </w:rPr>
        <w:t xml:space="preserve"> bond</w:t>
      </w:r>
      <w:r w:rsidR="00FA271D">
        <w:rPr>
          <w:rFonts w:ascii="Arial" w:hAnsi="Arial" w:cs="Arial" w:hint="eastAsia"/>
          <w:sz w:val="18"/>
          <w:szCs w:val="18"/>
        </w:rPr>
        <w:t>s</w:t>
      </w:r>
      <w:r w:rsidR="00FA271D" w:rsidRPr="00FA271D">
        <w:rPr>
          <w:rFonts w:ascii="Arial" w:hAnsi="Arial" w:cs="Arial"/>
          <w:sz w:val="18"/>
          <w:szCs w:val="18"/>
        </w:rPr>
        <w:t>.</w:t>
      </w:r>
      <w:r w:rsidR="00014890">
        <w:rPr>
          <w:rFonts w:ascii="Arial" w:hAnsi="Arial" w:cs="Arial" w:hint="eastAsia"/>
          <w:sz w:val="18"/>
          <w:szCs w:val="18"/>
        </w:rPr>
        <w:t xml:space="preserve"> </w:t>
      </w:r>
    </w:p>
    <w:p w:rsidR="00813FA6" w:rsidRDefault="00A17570" w:rsidP="006D49FA">
      <w:pPr>
        <w:pStyle w:val="a9"/>
        <w:adjustRightInd w:val="0"/>
        <w:snapToGrid w:val="0"/>
        <w:spacing w:line="380" w:lineRule="exact"/>
        <w:ind w:left="902" w:hangingChars="501" w:hanging="902"/>
        <w:jc w:val="both"/>
        <w:rPr>
          <w:rFonts w:ascii="Times New Roman" w:eastAsia="標楷體" w:hAnsi="Times New Roman"/>
          <w:sz w:val="18"/>
          <w:szCs w:val="18"/>
        </w:rPr>
      </w:pPr>
      <w:r w:rsidRPr="00584CAA">
        <w:rPr>
          <w:rFonts w:ascii="Arial" w:hAnsi="Arial" w:cs="Arial"/>
          <w:sz w:val="18"/>
          <w:szCs w:val="18"/>
        </w:rPr>
        <w:t>Article 6</w:t>
      </w:r>
      <w:r w:rsidRPr="00584CAA">
        <w:rPr>
          <w:rFonts w:ascii="Times New Roman" w:eastAsia="標楷體" w:hAnsi="Times New Roman"/>
          <w:sz w:val="18"/>
          <w:szCs w:val="18"/>
        </w:rPr>
        <w:tab/>
      </w:r>
      <w:r w:rsidR="00813FA6" w:rsidRPr="00584CAA">
        <w:rPr>
          <w:rFonts w:ascii="Arial" w:hAnsi="Arial" w:cs="Arial"/>
          <w:sz w:val="18"/>
          <w:szCs w:val="18"/>
        </w:rPr>
        <w:t>The Issuer</w:t>
      </w:r>
      <w:r w:rsidR="00813FA6">
        <w:rPr>
          <w:rFonts w:ascii="Arial" w:hAnsi="Arial" w:cs="Arial" w:hint="eastAsia"/>
          <w:sz w:val="18"/>
          <w:szCs w:val="18"/>
        </w:rPr>
        <w:t xml:space="preserve"> and Agent</w:t>
      </w:r>
      <w:r w:rsidR="00813FA6" w:rsidRPr="00584CAA">
        <w:rPr>
          <w:rFonts w:ascii="Arial" w:hAnsi="Arial" w:cs="Arial"/>
          <w:sz w:val="18"/>
          <w:szCs w:val="18"/>
        </w:rPr>
        <w:t xml:space="preserve"> and the </w:t>
      </w:r>
      <w:r w:rsidR="00813FA6">
        <w:rPr>
          <w:rFonts w:ascii="Arial" w:hAnsi="Arial" w:cs="Arial"/>
          <w:sz w:val="18"/>
          <w:szCs w:val="18"/>
        </w:rPr>
        <w:t>TPEx</w:t>
      </w:r>
      <w:r w:rsidR="00813FA6" w:rsidRPr="00584CAA">
        <w:rPr>
          <w:rFonts w:ascii="Arial" w:hAnsi="Arial" w:cs="Arial"/>
          <w:sz w:val="18"/>
          <w:szCs w:val="18"/>
        </w:rPr>
        <w:t xml:space="preserve"> </w:t>
      </w:r>
      <w:r w:rsidR="000A74BD">
        <w:rPr>
          <w:rFonts w:ascii="Arial" w:hAnsi="Arial" w:cs="Arial" w:hint="eastAsia"/>
          <w:sz w:val="18"/>
          <w:szCs w:val="18"/>
        </w:rPr>
        <w:t xml:space="preserve">consent and submit to the jurisdiction and venue in the first instance of the Taiwan </w:t>
      </w:r>
      <w:r w:rsidR="00813FA6" w:rsidRPr="00584CAA">
        <w:rPr>
          <w:rFonts w:ascii="Arial" w:hAnsi="Arial" w:cs="Arial"/>
          <w:sz w:val="18"/>
          <w:szCs w:val="18"/>
        </w:rPr>
        <w:t>Taipei District Court for</w:t>
      </w:r>
      <w:r w:rsidR="00813FA6">
        <w:rPr>
          <w:rFonts w:ascii="Arial" w:hAnsi="Arial" w:cs="Arial" w:hint="eastAsia"/>
          <w:sz w:val="18"/>
          <w:szCs w:val="18"/>
        </w:rPr>
        <w:t xml:space="preserve"> </w:t>
      </w:r>
      <w:r w:rsidR="00813FA6" w:rsidRPr="00584CAA">
        <w:rPr>
          <w:rFonts w:ascii="Arial" w:hAnsi="Arial" w:cs="Arial"/>
          <w:sz w:val="18"/>
          <w:szCs w:val="18"/>
        </w:rPr>
        <w:t xml:space="preserve">any litigation arising </w:t>
      </w:r>
      <w:r w:rsidR="000A74BD">
        <w:rPr>
          <w:rFonts w:ascii="Arial" w:hAnsi="Arial" w:cs="Arial" w:hint="eastAsia"/>
          <w:sz w:val="18"/>
          <w:szCs w:val="18"/>
        </w:rPr>
        <w:t xml:space="preserve">out of or in connection with </w:t>
      </w:r>
      <w:r w:rsidR="00813FA6">
        <w:rPr>
          <w:rFonts w:ascii="Arial" w:hAnsi="Arial" w:cs="Arial"/>
          <w:sz w:val="18"/>
          <w:szCs w:val="18"/>
        </w:rPr>
        <w:t>this Contract</w:t>
      </w:r>
      <w:r w:rsidR="00813FA6">
        <w:rPr>
          <w:rFonts w:ascii="Arial" w:hAnsi="Arial" w:cs="Arial" w:hint="eastAsia"/>
          <w:sz w:val="18"/>
          <w:szCs w:val="18"/>
        </w:rPr>
        <w:t>.</w:t>
      </w:r>
    </w:p>
    <w:p w:rsidR="00813FA6" w:rsidRPr="006D49FA" w:rsidRDefault="00A17570" w:rsidP="00813FA6">
      <w:pPr>
        <w:pStyle w:val="a9"/>
        <w:adjustRightInd w:val="0"/>
        <w:snapToGrid w:val="0"/>
        <w:spacing w:line="380" w:lineRule="exact"/>
        <w:ind w:left="902" w:hangingChars="501" w:hanging="902"/>
        <w:jc w:val="both"/>
        <w:rPr>
          <w:rFonts w:ascii="Arial" w:hAnsi="Arial" w:cs="Arial"/>
          <w:sz w:val="18"/>
          <w:szCs w:val="18"/>
        </w:rPr>
      </w:pPr>
      <w:r w:rsidRPr="00584CAA">
        <w:rPr>
          <w:rFonts w:ascii="Arial" w:hAnsi="Arial" w:cs="Arial"/>
          <w:sz w:val="18"/>
          <w:szCs w:val="18"/>
        </w:rPr>
        <w:t>Article 7</w:t>
      </w:r>
      <w:r w:rsidRPr="00584CAA">
        <w:rPr>
          <w:rFonts w:ascii="Times New Roman" w:eastAsia="標楷體" w:hAnsi="Times New Roman"/>
          <w:sz w:val="18"/>
          <w:szCs w:val="18"/>
        </w:rPr>
        <w:tab/>
      </w:r>
      <w:r w:rsidR="00813FA6" w:rsidRPr="00584CAA">
        <w:rPr>
          <w:rFonts w:ascii="Arial" w:hAnsi="Arial" w:cs="Arial"/>
          <w:sz w:val="18"/>
          <w:szCs w:val="18"/>
        </w:rPr>
        <w:t>This Contract shall be executed in five counterparts. One counterpart shall be submitted to the</w:t>
      </w:r>
      <w:r w:rsidR="00813FA6">
        <w:rPr>
          <w:rFonts w:ascii="Arial" w:hAnsi="Arial" w:cs="Arial" w:hint="eastAsia"/>
          <w:sz w:val="18"/>
          <w:szCs w:val="18"/>
        </w:rPr>
        <w:t xml:space="preserve"> </w:t>
      </w:r>
      <w:r w:rsidR="00813FA6" w:rsidRPr="00584CAA">
        <w:rPr>
          <w:rFonts w:ascii="Arial" w:hAnsi="Arial" w:cs="Arial"/>
          <w:sz w:val="18"/>
          <w:szCs w:val="18"/>
        </w:rPr>
        <w:t xml:space="preserve">competent authority and the remaining counterparts </w:t>
      </w:r>
      <w:r w:rsidR="00FA271D">
        <w:rPr>
          <w:rFonts w:ascii="Arial" w:hAnsi="Arial" w:cs="Arial" w:hint="eastAsia"/>
          <w:sz w:val="18"/>
          <w:szCs w:val="18"/>
        </w:rPr>
        <w:t xml:space="preserve">shall be </w:t>
      </w:r>
      <w:r w:rsidR="00813FA6" w:rsidRPr="00584CAA">
        <w:rPr>
          <w:rFonts w:ascii="Arial" w:hAnsi="Arial" w:cs="Arial"/>
          <w:sz w:val="18"/>
          <w:szCs w:val="18"/>
        </w:rPr>
        <w:t>held by the Issuer</w:t>
      </w:r>
      <w:r w:rsidR="00FA271D">
        <w:rPr>
          <w:rFonts w:ascii="Arial" w:hAnsi="Arial" w:cs="Arial" w:hint="eastAsia"/>
          <w:sz w:val="18"/>
          <w:szCs w:val="18"/>
        </w:rPr>
        <w:t xml:space="preserve"> and Agent</w:t>
      </w:r>
      <w:r w:rsidR="00813FA6" w:rsidRPr="00584CAA">
        <w:rPr>
          <w:rFonts w:ascii="Arial" w:hAnsi="Arial" w:cs="Arial"/>
          <w:sz w:val="18"/>
          <w:szCs w:val="18"/>
        </w:rPr>
        <w:t xml:space="preserve"> and the </w:t>
      </w:r>
      <w:r w:rsidR="00813FA6">
        <w:rPr>
          <w:rFonts w:ascii="Arial" w:hAnsi="Arial" w:cs="Arial"/>
          <w:sz w:val="18"/>
          <w:szCs w:val="18"/>
        </w:rPr>
        <w:t>TPEx</w:t>
      </w:r>
      <w:r w:rsidR="00813FA6" w:rsidRPr="00584CAA">
        <w:rPr>
          <w:rFonts w:ascii="Arial" w:hAnsi="Arial" w:cs="Arial"/>
          <w:sz w:val="18"/>
          <w:szCs w:val="18"/>
        </w:rPr>
        <w:t>.</w:t>
      </w:r>
    </w:p>
    <w:p w:rsidR="00A17570" w:rsidRPr="00813FA6" w:rsidRDefault="00813FA6" w:rsidP="00813FA6">
      <w:pPr>
        <w:pStyle w:val="a9"/>
        <w:adjustRightInd w:val="0"/>
        <w:snapToGrid w:val="0"/>
        <w:spacing w:line="380" w:lineRule="exact"/>
        <w:ind w:left="902" w:hangingChars="501" w:hanging="902"/>
        <w:jc w:val="both"/>
        <w:rPr>
          <w:rFonts w:ascii="Arial" w:eastAsia="標楷體" w:hAnsi="Arial" w:cs="Arial"/>
          <w:sz w:val="18"/>
          <w:szCs w:val="18"/>
        </w:rPr>
      </w:pPr>
      <w:r>
        <w:rPr>
          <w:rFonts w:ascii="Arial" w:eastAsia="標楷體" w:hAnsi="Arial" w:cs="Arial" w:hint="eastAsia"/>
          <w:sz w:val="18"/>
          <w:szCs w:val="18"/>
        </w:rPr>
        <w:t xml:space="preserve">Article 8   </w:t>
      </w:r>
      <w:r w:rsidR="00A17570" w:rsidRPr="00584CAA">
        <w:rPr>
          <w:rFonts w:ascii="Arial" w:hAnsi="Arial" w:cs="Arial"/>
          <w:sz w:val="18"/>
          <w:szCs w:val="18"/>
        </w:rPr>
        <w:t>This Contract shall take effect after the Issuer</w:t>
      </w:r>
      <w:r>
        <w:rPr>
          <w:rFonts w:ascii="Arial" w:hAnsi="Arial" w:cs="Arial" w:hint="eastAsia"/>
          <w:sz w:val="18"/>
          <w:szCs w:val="18"/>
        </w:rPr>
        <w:t xml:space="preserve"> </w:t>
      </w:r>
      <w:r w:rsidR="00A17570" w:rsidRPr="00584CAA">
        <w:rPr>
          <w:rFonts w:ascii="Arial" w:hAnsi="Arial" w:cs="Arial"/>
          <w:sz w:val="18"/>
          <w:szCs w:val="18"/>
        </w:rPr>
        <w:t xml:space="preserve">and the </w:t>
      </w:r>
      <w:r w:rsidR="00A17570">
        <w:rPr>
          <w:rFonts w:ascii="Arial" w:hAnsi="Arial" w:cs="Arial"/>
          <w:sz w:val="18"/>
          <w:szCs w:val="18"/>
        </w:rPr>
        <w:t>TPEx</w:t>
      </w:r>
      <w:r w:rsidR="00A17570" w:rsidRPr="00584CAA">
        <w:rPr>
          <w:rFonts w:ascii="Arial" w:hAnsi="Arial" w:cs="Arial"/>
          <w:sz w:val="18"/>
          <w:szCs w:val="18"/>
        </w:rPr>
        <w:t xml:space="preserve"> have </w:t>
      </w:r>
      <w:r w:rsidR="00374061">
        <w:rPr>
          <w:rFonts w:ascii="Arial" w:hAnsi="Arial" w:cs="Arial" w:hint="eastAsia"/>
          <w:sz w:val="18"/>
          <w:szCs w:val="18"/>
        </w:rPr>
        <w:t xml:space="preserve">both </w:t>
      </w:r>
      <w:r w:rsidR="00A17570" w:rsidRPr="00584CAA">
        <w:rPr>
          <w:rFonts w:ascii="Arial" w:hAnsi="Arial" w:cs="Arial"/>
          <w:sz w:val="18"/>
          <w:szCs w:val="18"/>
        </w:rPr>
        <w:t>affixed their seals</w:t>
      </w:r>
      <w:r w:rsidR="00374061">
        <w:rPr>
          <w:rFonts w:ascii="Arial" w:hAnsi="Arial" w:cs="Arial" w:hint="eastAsia"/>
          <w:sz w:val="18"/>
          <w:szCs w:val="18"/>
        </w:rPr>
        <w:t xml:space="preserve"> to it</w:t>
      </w:r>
      <w:r w:rsidR="00A17570" w:rsidRPr="00584CAA">
        <w:rPr>
          <w:rFonts w:ascii="Arial" w:hAnsi="Arial" w:cs="Arial"/>
          <w:sz w:val="18"/>
          <w:szCs w:val="18"/>
        </w:rPr>
        <w:t>.</w:t>
      </w:r>
    </w:p>
    <w:p w:rsidR="00A17570" w:rsidRDefault="00A17570" w:rsidP="00A17570">
      <w:pPr>
        <w:pStyle w:val="a9"/>
        <w:adjustRightInd w:val="0"/>
        <w:snapToGrid w:val="0"/>
        <w:spacing w:line="380" w:lineRule="exact"/>
        <w:ind w:left="5387" w:hanging="11"/>
        <w:jc w:val="both"/>
        <w:rPr>
          <w:rFonts w:ascii="Arial" w:hAnsi="Arial" w:cs="Arial"/>
          <w:sz w:val="18"/>
          <w:szCs w:val="18"/>
        </w:rPr>
      </w:pPr>
      <w:r w:rsidRPr="00584CAA">
        <w:rPr>
          <w:rFonts w:ascii="Times New Roman" w:eastAsia="標楷體" w:hAnsi="Times New Roman"/>
          <w:sz w:val="18"/>
          <w:szCs w:val="18"/>
        </w:rPr>
        <w:t xml:space="preserve">  </w:t>
      </w:r>
      <w:r w:rsidR="00840C6C">
        <w:rPr>
          <w:rFonts w:ascii="Arial" w:hAnsi="Arial" w:cs="Arial" w:hint="eastAsia"/>
          <w:sz w:val="18"/>
          <w:szCs w:val="18"/>
        </w:rPr>
        <w:t>Issuer</w:t>
      </w:r>
      <w:r w:rsidRPr="00584CAA">
        <w:rPr>
          <w:rFonts w:ascii="Arial" w:hAnsi="Arial" w:cs="Arial"/>
          <w:sz w:val="18"/>
          <w:szCs w:val="18"/>
        </w:rPr>
        <w:t>:</w:t>
      </w:r>
      <w:r w:rsidRPr="00584CAA">
        <w:rPr>
          <w:rFonts w:ascii="Arial" w:hAnsi="Arial" w:cs="Arial"/>
          <w:sz w:val="18"/>
          <w:szCs w:val="18"/>
        </w:rPr>
        <w:br/>
        <w:t>    </w:t>
      </w:r>
      <w:r w:rsidR="00FA271D">
        <w:rPr>
          <w:rFonts w:ascii="Arial" w:hAnsi="Arial" w:cs="Arial" w:hint="eastAsia"/>
          <w:sz w:val="18"/>
          <w:szCs w:val="18"/>
        </w:rPr>
        <w:t>(</w:t>
      </w:r>
      <w:r w:rsidRPr="00584CAA">
        <w:rPr>
          <w:rFonts w:ascii="Arial" w:hAnsi="Arial" w:cs="Arial"/>
          <w:sz w:val="18"/>
          <w:szCs w:val="18"/>
        </w:rPr>
        <w:t xml:space="preserve">Statutory </w:t>
      </w:r>
      <w:r w:rsidR="00BD1C33">
        <w:rPr>
          <w:rFonts w:ascii="Arial" w:hAnsi="Arial" w:cs="Arial" w:hint="eastAsia"/>
          <w:sz w:val="18"/>
          <w:szCs w:val="18"/>
        </w:rPr>
        <w:t>r</w:t>
      </w:r>
      <w:r w:rsidRPr="00584CAA">
        <w:rPr>
          <w:rFonts w:ascii="Arial" w:hAnsi="Arial" w:cs="Arial"/>
          <w:sz w:val="18"/>
          <w:szCs w:val="18"/>
        </w:rPr>
        <w:t>epresentative</w:t>
      </w:r>
      <w:r w:rsidR="00FA271D">
        <w:rPr>
          <w:rFonts w:ascii="Arial" w:hAnsi="Arial" w:cs="Arial" w:hint="eastAsia"/>
          <w:sz w:val="18"/>
          <w:szCs w:val="18"/>
        </w:rPr>
        <w:t>)</w:t>
      </w:r>
      <w:r w:rsidRPr="00584CAA">
        <w:rPr>
          <w:rFonts w:ascii="Arial" w:hAnsi="Arial" w:cs="Arial"/>
          <w:sz w:val="18"/>
          <w:szCs w:val="18"/>
        </w:rPr>
        <w:br/>
        <w:t>    Address:</w:t>
      </w:r>
      <w:r w:rsidRPr="00584CAA">
        <w:rPr>
          <w:rFonts w:ascii="Arial" w:hAnsi="Arial" w:cs="Arial"/>
          <w:sz w:val="18"/>
          <w:szCs w:val="18"/>
        </w:rPr>
        <w:br/>
        <w:t>    </w:t>
      </w:r>
      <w:r w:rsidRPr="00584CAA">
        <w:rPr>
          <w:rFonts w:ascii="Arial" w:hAnsi="Arial" w:cs="Arial"/>
          <w:sz w:val="18"/>
          <w:szCs w:val="18"/>
        </w:rPr>
        <w:br/>
      </w:r>
      <w:r w:rsidRPr="00584CAA">
        <w:rPr>
          <w:rFonts w:ascii="Arial" w:hAnsi="Arial" w:cs="Arial"/>
          <w:sz w:val="18"/>
          <w:szCs w:val="18"/>
        </w:rPr>
        <w:lastRenderedPageBreak/>
        <w:t>    Agent</w:t>
      </w:r>
      <w:r w:rsidR="00BD1C33">
        <w:rPr>
          <w:rFonts w:ascii="Arial" w:hAnsi="Arial" w:cs="Arial" w:hint="eastAsia"/>
          <w:sz w:val="18"/>
          <w:szCs w:val="18"/>
        </w:rPr>
        <w:t xml:space="preserve"> institution</w:t>
      </w:r>
      <w:r w:rsidRPr="00584CAA">
        <w:rPr>
          <w:rFonts w:ascii="Arial" w:hAnsi="Arial" w:cs="Arial"/>
          <w:sz w:val="18"/>
          <w:szCs w:val="18"/>
        </w:rPr>
        <w:t>:</w:t>
      </w:r>
      <w:r w:rsidRPr="00584CAA">
        <w:rPr>
          <w:rFonts w:ascii="Arial" w:hAnsi="Arial" w:cs="Arial"/>
          <w:sz w:val="18"/>
          <w:szCs w:val="18"/>
        </w:rPr>
        <w:br/>
        <w:t>    </w:t>
      </w:r>
      <w:r w:rsidR="00FA271D">
        <w:rPr>
          <w:rFonts w:ascii="Arial" w:hAnsi="Arial" w:cs="Arial" w:hint="eastAsia"/>
          <w:sz w:val="18"/>
          <w:szCs w:val="18"/>
        </w:rPr>
        <w:t>(</w:t>
      </w:r>
      <w:r w:rsidRPr="00584CAA">
        <w:rPr>
          <w:rFonts w:ascii="Arial" w:hAnsi="Arial" w:cs="Arial"/>
          <w:sz w:val="18"/>
          <w:szCs w:val="18"/>
        </w:rPr>
        <w:t xml:space="preserve">Statutory </w:t>
      </w:r>
      <w:r w:rsidR="00BD1C33">
        <w:rPr>
          <w:rFonts w:ascii="Arial" w:hAnsi="Arial" w:cs="Arial" w:hint="eastAsia"/>
          <w:sz w:val="18"/>
          <w:szCs w:val="18"/>
        </w:rPr>
        <w:t>r</w:t>
      </w:r>
      <w:r w:rsidRPr="00584CAA">
        <w:rPr>
          <w:rFonts w:ascii="Arial" w:hAnsi="Arial" w:cs="Arial"/>
          <w:sz w:val="18"/>
          <w:szCs w:val="18"/>
        </w:rPr>
        <w:t>epres</w:t>
      </w:r>
      <w:r>
        <w:rPr>
          <w:rFonts w:ascii="Arial" w:hAnsi="Arial" w:cs="Arial"/>
          <w:sz w:val="18"/>
          <w:szCs w:val="18"/>
        </w:rPr>
        <w:t>entative</w:t>
      </w:r>
      <w:r w:rsidR="00FA271D">
        <w:rPr>
          <w:rFonts w:ascii="Arial" w:hAnsi="Arial" w:cs="Arial" w:hint="eastAsia"/>
          <w:sz w:val="18"/>
          <w:szCs w:val="18"/>
        </w:rPr>
        <w:t>)</w:t>
      </w:r>
      <w:r>
        <w:rPr>
          <w:rFonts w:ascii="Arial" w:hAnsi="Arial" w:cs="Arial"/>
          <w:sz w:val="18"/>
          <w:szCs w:val="18"/>
        </w:rPr>
        <w:br/>
        <w:t>    Address:</w:t>
      </w:r>
    </w:p>
    <w:p w:rsidR="00A17570" w:rsidRDefault="00A17570" w:rsidP="00A17570">
      <w:pPr>
        <w:pStyle w:val="a9"/>
        <w:adjustRightInd w:val="0"/>
        <w:snapToGrid w:val="0"/>
        <w:spacing w:line="380" w:lineRule="exact"/>
        <w:ind w:left="5387" w:hanging="11"/>
        <w:jc w:val="both"/>
        <w:rPr>
          <w:rFonts w:ascii="Arial" w:hAnsi="Arial" w:cs="Arial"/>
          <w:sz w:val="18"/>
          <w:szCs w:val="18"/>
        </w:rPr>
      </w:pPr>
    </w:p>
    <w:p w:rsidR="00A17570" w:rsidRDefault="00A17570" w:rsidP="00A17570">
      <w:pPr>
        <w:pStyle w:val="a9"/>
        <w:adjustRightInd w:val="0"/>
        <w:snapToGrid w:val="0"/>
        <w:spacing w:line="380" w:lineRule="exact"/>
        <w:ind w:left="5387" w:hanging="11"/>
        <w:jc w:val="both"/>
        <w:rPr>
          <w:rFonts w:ascii="Arial" w:hAnsi="Arial" w:cs="Arial"/>
          <w:sz w:val="18"/>
          <w:szCs w:val="18"/>
        </w:rPr>
      </w:pPr>
      <w:r w:rsidRPr="00584CAA">
        <w:rPr>
          <w:rFonts w:ascii="Arial" w:hAnsi="Arial" w:cs="Arial"/>
          <w:sz w:val="18"/>
          <w:szCs w:val="18"/>
        </w:rPr>
        <w:t>    </w:t>
      </w:r>
      <w:r w:rsidRPr="00F605B3">
        <w:rPr>
          <w:rFonts w:ascii="Arial" w:hAnsi="Arial" w:cs="Arial"/>
          <w:sz w:val="18"/>
          <w:szCs w:val="18"/>
        </w:rPr>
        <w:t>Taipei Exchange</w:t>
      </w:r>
      <w:r w:rsidRPr="00584CAA">
        <w:rPr>
          <w:rFonts w:ascii="Arial" w:hAnsi="Arial" w:cs="Arial"/>
          <w:sz w:val="18"/>
          <w:szCs w:val="18"/>
        </w:rPr>
        <w:br/>
        <w:t> </w:t>
      </w:r>
      <w:proofErr w:type="gramStart"/>
      <w:r w:rsidRPr="00584CAA">
        <w:rPr>
          <w:rFonts w:ascii="Arial" w:hAnsi="Arial" w:cs="Arial"/>
          <w:sz w:val="18"/>
          <w:szCs w:val="18"/>
        </w:rPr>
        <w:t>   </w:t>
      </w:r>
      <w:r w:rsidR="00FA271D">
        <w:rPr>
          <w:rFonts w:ascii="Arial" w:hAnsi="Arial" w:cs="Arial" w:hint="eastAsia"/>
          <w:sz w:val="18"/>
          <w:szCs w:val="18"/>
        </w:rPr>
        <w:t>(</w:t>
      </w:r>
      <w:proofErr w:type="gramEnd"/>
      <w:r w:rsidRPr="00584CAA">
        <w:rPr>
          <w:rFonts w:ascii="Arial" w:hAnsi="Arial" w:cs="Arial"/>
          <w:sz w:val="18"/>
          <w:szCs w:val="18"/>
        </w:rPr>
        <w:t xml:space="preserve">Statutory </w:t>
      </w:r>
      <w:r w:rsidR="00BD1C33">
        <w:rPr>
          <w:rFonts w:ascii="Arial" w:hAnsi="Arial" w:cs="Arial" w:hint="eastAsia"/>
          <w:sz w:val="18"/>
          <w:szCs w:val="18"/>
        </w:rPr>
        <w:t>r</w:t>
      </w:r>
      <w:r w:rsidRPr="00584CAA">
        <w:rPr>
          <w:rFonts w:ascii="Arial" w:hAnsi="Arial" w:cs="Arial"/>
          <w:sz w:val="18"/>
          <w:szCs w:val="18"/>
        </w:rPr>
        <w:t>epresentative</w:t>
      </w:r>
      <w:r w:rsidR="00FA271D">
        <w:rPr>
          <w:rFonts w:ascii="Arial" w:hAnsi="Arial" w:cs="Arial" w:hint="eastAsia"/>
          <w:sz w:val="18"/>
          <w:szCs w:val="18"/>
        </w:rPr>
        <w:t>)</w:t>
      </w:r>
      <w:r w:rsidR="00FA271D" w:rsidRPr="00584CAA">
        <w:rPr>
          <w:rFonts w:ascii="Arial" w:hAnsi="Arial" w:cs="Arial"/>
          <w:sz w:val="18"/>
          <w:szCs w:val="18"/>
        </w:rPr>
        <w:t xml:space="preserve"> </w:t>
      </w:r>
      <w:r w:rsidRPr="00584CAA">
        <w:rPr>
          <w:rFonts w:ascii="Arial" w:hAnsi="Arial" w:cs="Arial"/>
          <w:sz w:val="18"/>
          <w:szCs w:val="18"/>
        </w:rPr>
        <w:br/>
        <w:t>    Address:</w:t>
      </w:r>
      <w:r w:rsidRPr="002B14E0">
        <w:t xml:space="preserve"> </w:t>
      </w:r>
      <w:r w:rsidRPr="002B14E0">
        <w:rPr>
          <w:rFonts w:ascii="Arial" w:hAnsi="Arial" w:cs="Arial"/>
          <w:sz w:val="18"/>
          <w:szCs w:val="18"/>
        </w:rPr>
        <w:t>15F, No.100, Sec.</w:t>
      </w:r>
      <w:r w:rsidR="00FA271D">
        <w:rPr>
          <w:rFonts w:ascii="Arial" w:hAnsi="Arial" w:cs="Arial" w:hint="eastAsia"/>
          <w:sz w:val="18"/>
          <w:szCs w:val="18"/>
        </w:rPr>
        <w:t xml:space="preserve"> </w:t>
      </w:r>
      <w:r w:rsidRPr="002B14E0">
        <w:rPr>
          <w:rFonts w:ascii="Arial" w:hAnsi="Arial" w:cs="Arial"/>
          <w:sz w:val="18"/>
          <w:szCs w:val="18"/>
        </w:rPr>
        <w:t xml:space="preserve">2, Roosevelt Road, </w:t>
      </w:r>
      <w:r>
        <w:rPr>
          <w:rFonts w:ascii="Arial" w:hAnsi="Arial" w:cs="Arial"/>
          <w:sz w:val="18"/>
          <w:szCs w:val="18"/>
        </w:rPr>
        <w:t xml:space="preserve"> </w:t>
      </w:r>
    </w:p>
    <w:p w:rsidR="00A17570" w:rsidRPr="00584CAA" w:rsidRDefault="00A17570" w:rsidP="00A17570">
      <w:pPr>
        <w:pStyle w:val="a9"/>
        <w:adjustRightInd w:val="0"/>
        <w:snapToGrid w:val="0"/>
        <w:spacing w:line="380" w:lineRule="exact"/>
        <w:ind w:left="5387" w:firstLineChars="600" w:firstLine="1080"/>
        <w:jc w:val="both"/>
        <w:rPr>
          <w:rFonts w:ascii="Times New Roman" w:eastAsia="標楷體" w:hAnsi="Times New Roman"/>
          <w:sz w:val="18"/>
          <w:szCs w:val="18"/>
        </w:rPr>
      </w:pPr>
      <w:r w:rsidRPr="002B14E0">
        <w:rPr>
          <w:rFonts w:ascii="Arial" w:hAnsi="Arial" w:cs="Arial"/>
          <w:sz w:val="18"/>
          <w:szCs w:val="18"/>
        </w:rPr>
        <w:t>Zhongzheng District, Taipei</w:t>
      </w:r>
    </w:p>
    <w:p w:rsidR="00A17570" w:rsidRDefault="00A17570" w:rsidP="00A17570">
      <w:pPr>
        <w:pStyle w:val="10"/>
        <w:tabs>
          <w:tab w:val="left" w:pos="0"/>
        </w:tabs>
        <w:rPr>
          <w:sz w:val="18"/>
        </w:rPr>
      </w:pPr>
    </w:p>
    <w:p w:rsidR="00BD1C33" w:rsidRDefault="00BD1C33" w:rsidP="00A17570">
      <w:pPr>
        <w:pStyle w:val="10"/>
        <w:tabs>
          <w:tab w:val="left" w:pos="0"/>
        </w:tabs>
        <w:rPr>
          <w:sz w:val="18"/>
        </w:rPr>
      </w:pPr>
    </w:p>
    <w:p w:rsidR="00BD1C33" w:rsidRDefault="00BD1C33" w:rsidP="00A17570">
      <w:pPr>
        <w:pStyle w:val="10"/>
        <w:tabs>
          <w:tab w:val="left" w:pos="0"/>
        </w:tabs>
        <w:rPr>
          <w:sz w:val="18"/>
        </w:rPr>
      </w:pPr>
    </w:p>
    <w:p w:rsidR="00A17570" w:rsidRPr="00D2712F" w:rsidRDefault="00A17570" w:rsidP="00A17570">
      <w:pPr>
        <w:pStyle w:val="10"/>
        <w:tabs>
          <w:tab w:val="left" w:pos="0"/>
        </w:tabs>
        <w:rPr>
          <w:rFonts w:ascii="標楷體"/>
        </w:rPr>
      </w:pPr>
      <w:r>
        <w:rPr>
          <w:sz w:val="18"/>
        </w:rPr>
        <w:t>Dated</w:t>
      </w:r>
      <w:r w:rsidRPr="00D2712F">
        <w:rPr>
          <w:sz w:val="18"/>
        </w:rPr>
        <w:t>:</w:t>
      </w:r>
      <w:r w:rsidR="00BD1C33" w:rsidRPr="00D2712F">
        <w:rPr>
          <w:rFonts w:hint="eastAsia"/>
          <w:sz w:val="18"/>
        </w:rPr>
        <w:t xml:space="preserve"> </w:t>
      </w:r>
      <w:r w:rsidR="00E8676B" w:rsidRPr="00625BFB">
        <w:rPr>
          <w:sz w:val="18"/>
        </w:rPr>
        <w:t xml:space="preserve">________, 201__ (Month Date, </w:t>
      </w:r>
      <w:proofErr w:type="gramStart"/>
      <w:r w:rsidR="00E8676B" w:rsidRPr="00625BFB">
        <w:rPr>
          <w:sz w:val="18"/>
        </w:rPr>
        <w:t>Year )</w:t>
      </w:r>
      <w:proofErr w:type="gramEnd"/>
    </w:p>
    <w:p w:rsidR="004E519F" w:rsidRPr="00A17570" w:rsidRDefault="004E519F">
      <w:pPr>
        <w:pStyle w:val="10"/>
        <w:tabs>
          <w:tab w:val="left" w:pos="0"/>
        </w:tabs>
        <w:rPr>
          <w:rFonts w:ascii="標楷體"/>
          <w:color w:val="000000"/>
        </w:rPr>
      </w:pPr>
    </w:p>
    <w:sectPr w:rsidR="004E519F" w:rsidRPr="00A17570">
      <w:footerReference w:type="even" r:id="rId8"/>
      <w:footerReference w:type="default" r:id="rId9"/>
      <w:pgSz w:w="11907" w:h="16840" w:code="9"/>
      <w:pgMar w:top="851" w:right="851" w:bottom="851"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179" w:rsidRDefault="00F90179">
      <w:r>
        <w:separator/>
      </w:r>
    </w:p>
  </w:endnote>
  <w:endnote w:type="continuationSeparator" w:id="0">
    <w:p w:rsidR="00F90179" w:rsidRDefault="00F90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華康楷書體W5(P)">
    <w:altName w:val="新細明體"/>
    <w:charset w:val="88"/>
    <w:family w:val="auto"/>
    <w:pitch w:val="variable"/>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C38" w:rsidRDefault="00E23C3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23C38" w:rsidRDefault="00E23C3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C38" w:rsidRDefault="00E23C38">
    <w:pPr>
      <w:pStyle w:val="a4"/>
      <w:ind w:right="360"/>
      <w:jc w:val="center"/>
      <w:rPr>
        <w:rFonts w:ascii="標楷體" w:eastAsia="標楷體" w:hAnsi="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179" w:rsidRDefault="00F90179">
      <w:r>
        <w:separator/>
      </w:r>
    </w:p>
  </w:footnote>
  <w:footnote w:type="continuationSeparator" w:id="0">
    <w:p w:rsidR="00F90179" w:rsidRDefault="00F90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44E95"/>
    <w:multiLevelType w:val="hybridMultilevel"/>
    <w:tmpl w:val="DA5E02F0"/>
    <w:lvl w:ilvl="0" w:tplc="B49E9768">
      <w:start w:val="1"/>
      <w:numFmt w:val="taiwaneseCountingThousand"/>
      <w:lvlText w:val="%1、"/>
      <w:lvlJc w:val="left"/>
      <w:pPr>
        <w:tabs>
          <w:tab w:val="num" w:pos="720"/>
        </w:tabs>
        <w:ind w:left="720" w:hanging="720"/>
      </w:pPr>
      <w:rPr>
        <w:rFonts w:eastAsia="標楷體" w:hint="eastAsia"/>
        <w:color w:val="auto"/>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 w15:restartNumberingAfterBreak="0">
    <w:nsid w:val="08083961"/>
    <w:multiLevelType w:val="hybridMultilevel"/>
    <w:tmpl w:val="E1BEE5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60B5F84"/>
    <w:multiLevelType w:val="hybridMultilevel"/>
    <w:tmpl w:val="3E2A3CD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8996DD6"/>
    <w:multiLevelType w:val="hybridMultilevel"/>
    <w:tmpl w:val="D356229C"/>
    <w:lvl w:ilvl="0" w:tplc="68FCEB5E">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20B207F4"/>
    <w:multiLevelType w:val="hybridMultilevel"/>
    <w:tmpl w:val="EC587324"/>
    <w:lvl w:ilvl="0" w:tplc="1F0EA8D8">
      <w:start w:val="1"/>
      <w:numFmt w:val="taiwaneseCountingThousand"/>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6D274D8"/>
    <w:multiLevelType w:val="hybridMultilevel"/>
    <w:tmpl w:val="99E452B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BBA28FC"/>
    <w:multiLevelType w:val="hybridMultilevel"/>
    <w:tmpl w:val="3A44B04E"/>
    <w:lvl w:ilvl="0" w:tplc="B49E9768">
      <w:start w:val="1"/>
      <w:numFmt w:val="taiwaneseCountingThousand"/>
      <w:lvlText w:val="%1、"/>
      <w:lvlJc w:val="left"/>
      <w:pPr>
        <w:tabs>
          <w:tab w:val="num" w:pos="720"/>
        </w:tabs>
        <w:ind w:left="720" w:hanging="720"/>
      </w:pPr>
      <w:rPr>
        <w:rFonts w:eastAsia="標楷體" w:hint="eastAsia"/>
        <w:color w:val="auto"/>
      </w:rPr>
    </w:lvl>
    <w:lvl w:ilvl="1" w:tplc="48CC4BD8">
      <w:start w:val="1"/>
      <w:numFmt w:val="taiwaneseCountingThousand"/>
      <w:lvlText w:val="%2、"/>
      <w:lvlJc w:val="left"/>
      <w:pPr>
        <w:tabs>
          <w:tab w:val="num" w:pos="360"/>
        </w:tabs>
        <w:ind w:left="360" w:hanging="360"/>
      </w:pPr>
      <w:rPr>
        <w:rFonts w:hint="default"/>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7" w15:restartNumberingAfterBreak="0">
    <w:nsid w:val="2C155B53"/>
    <w:multiLevelType w:val="hybridMultilevel"/>
    <w:tmpl w:val="A6AEEC60"/>
    <w:lvl w:ilvl="0" w:tplc="1F0EA8D8">
      <w:start w:val="1"/>
      <w:numFmt w:val="taiwaneseCountingThousand"/>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E077402"/>
    <w:multiLevelType w:val="multilevel"/>
    <w:tmpl w:val="2D428C84"/>
    <w:lvl w:ilvl="0">
      <w:start w:val="1"/>
      <w:numFmt w:val="decimal"/>
      <w:lvlText w:val="%1."/>
      <w:lvlJc w:val="left"/>
      <w:pPr>
        <w:tabs>
          <w:tab w:val="num" w:pos="1440"/>
        </w:tabs>
        <w:ind w:left="1440" w:hanging="480"/>
      </w:pPr>
    </w:lvl>
    <w:lvl w:ilvl="1">
      <w:start w:val="1"/>
      <w:numFmt w:val="taiwaneseCountingThousand"/>
      <w:suff w:val="nothing"/>
      <w:lvlText w:val="(%2)"/>
      <w:lvlJc w:val="left"/>
      <w:pPr>
        <w:ind w:left="1935" w:hanging="652"/>
      </w:pPr>
      <w:rPr>
        <w:rFonts w:ascii="標楷體" w:eastAsia="標楷體" w:hint="eastAsia"/>
        <w:b w:val="0"/>
        <w:i w:val="0"/>
        <w:sz w:val="32"/>
      </w:rPr>
    </w:lvl>
    <w:lvl w:ilvl="2">
      <w:start w:val="1"/>
      <w:numFmt w:val="decimalFullWidth"/>
      <w:suff w:val="nothing"/>
      <w:lvlText w:val="%3、"/>
      <w:lvlJc w:val="left"/>
      <w:pPr>
        <w:ind w:left="2253" w:hanging="641"/>
      </w:pPr>
      <w:rPr>
        <w:rFonts w:ascii="標楷體" w:eastAsia="標楷體" w:hint="eastAsia"/>
        <w:b w:val="0"/>
        <w:i w:val="0"/>
        <w:sz w:val="32"/>
      </w:rPr>
    </w:lvl>
    <w:lvl w:ilvl="3">
      <w:start w:val="1"/>
      <w:numFmt w:val="decimalFullWidth"/>
      <w:suff w:val="nothing"/>
      <w:lvlText w:val="(%4)"/>
      <w:lvlJc w:val="left"/>
      <w:pPr>
        <w:ind w:left="2576" w:hanging="641"/>
      </w:pPr>
      <w:rPr>
        <w:rFonts w:ascii="標楷體" w:eastAsia="標楷體" w:hint="eastAsia"/>
        <w:b w:val="0"/>
        <w:i w:val="0"/>
        <w:sz w:val="32"/>
      </w:rPr>
    </w:lvl>
    <w:lvl w:ilvl="4">
      <w:start w:val="1"/>
      <w:numFmt w:val="ideographTraditional"/>
      <w:suff w:val="nothing"/>
      <w:lvlText w:val="%5、"/>
      <w:lvlJc w:val="left"/>
      <w:pPr>
        <w:ind w:left="2888" w:hanging="635"/>
      </w:pPr>
      <w:rPr>
        <w:rFonts w:ascii="標楷體" w:eastAsia="標楷體" w:hint="eastAsia"/>
        <w:b w:val="0"/>
        <w:i w:val="0"/>
        <w:sz w:val="32"/>
      </w:rPr>
    </w:lvl>
    <w:lvl w:ilvl="5">
      <w:start w:val="5"/>
      <w:numFmt w:val="taiwaneseCountingThousand"/>
      <w:lvlText w:val="（%6)、"/>
      <w:lvlJc w:val="left"/>
      <w:pPr>
        <w:tabs>
          <w:tab w:val="num" w:pos="4560"/>
        </w:tabs>
        <w:ind w:left="4560" w:hanging="3061"/>
      </w:pPr>
      <w:rPr>
        <w:rFonts w:hint="eastAsia"/>
      </w:rPr>
    </w:lvl>
    <w:lvl w:ilvl="6">
      <w:start w:val="1"/>
      <w:numFmt w:val="none"/>
      <w:lvlText w:val=""/>
      <w:lvlJc w:val="left"/>
      <w:pPr>
        <w:tabs>
          <w:tab w:val="num" w:pos="4560"/>
        </w:tabs>
        <w:ind w:left="4560" w:hanging="3061"/>
      </w:pPr>
      <w:rPr>
        <w:rFonts w:hint="eastAsia"/>
      </w:rPr>
    </w:lvl>
    <w:lvl w:ilvl="7">
      <w:start w:val="1"/>
      <w:numFmt w:val="none"/>
      <w:lvlText w:val=""/>
      <w:lvlJc w:val="left"/>
      <w:pPr>
        <w:tabs>
          <w:tab w:val="num" w:pos="5042"/>
        </w:tabs>
        <w:ind w:left="5042" w:hanging="1418"/>
      </w:pPr>
      <w:rPr>
        <w:rFonts w:hint="eastAsia"/>
      </w:rPr>
    </w:lvl>
    <w:lvl w:ilvl="8">
      <w:start w:val="1"/>
      <w:numFmt w:val="none"/>
      <w:lvlText w:val=""/>
      <w:lvlJc w:val="left"/>
      <w:pPr>
        <w:tabs>
          <w:tab w:val="num" w:pos="5750"/>
        </w:tabs>
        <w:ind w:left="5750" w:hanging="1700"/>
      </w:pPr>
      <w:rPr>
        <w:rFonts w:hint="eastAsia"/>
      </w:rPr>
    </w:lvl>
  </w:abstractNum>
  <w:abstractNum w:abstractNumId="9" w15:restartNumberingAfterBreak="0">
    <w:nsid w:val="354B352A"/>
    <w:multiLevelType w:val="hybridMultilevel"/>
    <w:tmpl w:val="ADD2E506"/>
    <w:lvl w:ilvl="0" w:tplc="3410A5A4">
      <w:start w:val="1"/>
      <w:numFmt w:val="taiwaneseCountingThousand"/>
      <w:lvlText w:val="%1、"/>
      <w:lvlJc w:val="left"/>
      <w:pPr>
        <w:tabs>
          <w:tab w:val="num" w:pos="720"/>
        </w:tabs>
        <w:ind w:left="720" w:hanging="720"/>
      </w:pPr>
      <w:rPr>
        <w:rFonts w:eastAsia="標楷體"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0" w15:restartNumberingAfterBreak="0">
    <w:nsid w:val="36580807"/>
    <w:multiLevelType w:val="hybridMultilevel"/>
    <w:tmpl w:val="9492143A"/>
    <w:lvl w:ilvl="0" w:tplc="308E0650">
      <w:start w:val="5"/>
      <w:numFmt w:val="bullet"/>
      <w:lvlText w:val="□"/>
      <w:lvlJc w:val="left"/>
      <w:pPr>
        <w:tabs>
          <w:tab w:val="num" w:pos="372"/>
        </w:tabs>
        <w:ind w:left="372" w:hanging="360"/>
      </w:pPr>
      <w:rPr>
        <w:rFonts w:ascii="Times New Roman" w:eastAsia="標楷體" w:hAnsi="Times New Roman" w:cs="Times New Roman" w:hint="default"/>
      </w:rPr>
    </w:lvl>
    <w:lvl w:ilvl="1" w:tplc="04090003" w:tentative="1">
      <w:start w:val="1"/>
      <w:numFmt w:val="bullet"/>
      <w:lvlText w:val=""/>
      <w:lvlJc w:val="left"/>
      <w:pPr>
        <w:tabs>
          <w:tab w:val="num" w:pos="972"/>
        </w:tabs>
        <w:ind w:left="972" w:hanging="480"/>
      </w:pPr>
      <w:rPr>
        <w:rFonts w:ascii="Wingdings" w:hAnsi="Wingdings" w:hint="default"/>
      </w:rPr>
    </w:lvl>
    <w:lvl w:ilvl="2" w:tplc="04090005" w:tentative="1">
      <w:start w:val="1"/>
      <w:numFmt w:val="bullet"/>
      <w:lvlText w:val=""/>
      <w:lvlJc w:val="left"/>
      <w:pPr>
        <w:tabs>
          <w:tab w:val="num" w:pos="1452"/>
        </w:tabs>
        <w:ind w:left="1452" w:hanging="480"/>
      </w:pPr>
      <w:rPr>
        <w:rFonts w:ascii="Wingdings" w:hAnsi="Wingdings" w:hint="default"/>
      </w:rPr>
    </w:lvl>
    <w:lvl w:ilvl="3" w:tplc="04090001" w:tentative="1">
      <w:start w:val="1"/>
      <w:numFmt w:val="bullet"/>
      <w:lvlText w:val=""/>
      <w:lvlJc w:val="left"/>
      <w:pPr>
        <w:tabs>
          <w:tab w:val="num" w:pos="1932"/>
        </w:tabs>
        <w:ind w:left="1932" w:hanging="480"/>
      </w:pPr>
      <w:rPr>
        <w:rFonts w:ascii="Wingdings" w:hAnsi="Wingdings" w:hint="default"/>
      </w:rPr>
    </w:lvl>
    <w:lvl w:ilvl="4" w:tplc="04090003" w:tentative="1">
      <w:start w:val="1"/>
      <w:numFmt w:val="bullet"/>
      <w:lvlText w:val=""/>
      <w:lvlJc w:val="left"/>
      <w:pPr>
        <w:tabs>
          <w:tab w:val="num" w:pos="2412"/>
        </w:tabs>
        <w:ind w:left="2412" w:hanging="480"/>
      </w:pPr>
      <w:rPr>
        <w:rFonts w:ascii="Wingdings" w:hAnsi="Wingdings" w:hint="default"/>
      </w:rPr>
    </w:lvl>
    <w:lvl w:ilvl="5" w:tplc="04090005" w:tentative="1">
      <w:start w:val="1"/>
      <w:numFmt w:val="bullet"/>
      <w:lvlText w:val=""/>
      <w:lvlJc w:val="left"/>
      <w:pPr>
        <w:tabs>
          <w:tab w:val="num" w:pos="2892"/>
        </w:tabs>
        <w:ind w:left="2892" w:hanging="480"/>
      </w:pPr>
      <w:rPr>
        <w:rFonts w:ascii="Wingdings" w:hAnsi="Wingdings" w:hint="default"/>
      </w:rPr>
    </w:lvl>
    <w:lvl w:ilvl="6" w:tplc="04090001" w:tentative="1">
      <w:start w:val="1"/>
      <w:numFmt w:val="bullet"/>
      <w:lvlText w:val=""/>
      <w:lvlJc w:val="left"/>
      <w:pPr>
        <w:tabs>
          <w:tab w:val="num" w:pos="3372"/>
        </w:tabs>
        <w:ind w:left="3372" w:hanging="480"/>
      </w:pPr>
      <w:rPr>
        <w:rFonts w:ascii="Wingdings" w:hAnsi="Wingdings" w:hint="default"/>
      </w:rPr>
    </w:lvl>
    <w:lvl w:ilvl="7" w:tplc="04090003" w:tentative="1">
      <w:start w:val="1"/>
      <w:numFmt w:val="bullet"/>
      <w:lvlText w:val=""/>
      <w:lvlJc w:val="left"/>
      <w:pPr>
        <w:tabs>
          <w:tab w:val="num" w:pos="3852"/>
        </w:tabs>
        <w:ind w:left="3852" w:hanging="480"/>
      </w:pPr>
      <w:rPr>
        <w:rFonts w:ascii="Wingdings" w:hAnsi="Wingdings" w:hint="default"/>
      </w:rPr>
    </w:lvl>
    <w:lvl w:ilvl="8" w:tplc="04090005" w:tentative="1">
      <w:start w:val="1"/>
      <w:numFmt w:val="bullet"/>
      <w:lvlText w:val=""/>
      <w:lvlJc w:val="left"/>
      <w:pPr>
        <w:tabs>
          <w:tab w:val="num" w:pos="4332"/>
        </w:tabs>
        <w:ind w:left="4332" w:hanging="480"/>
      </w:pPr>
      <w:rPr>
        <w:rFonts w:ascii="Wingdings" w:hAnsi="Wingdings" w:hint="default"/>
      </w:rPr>
    </w:lvl>
  </w:abstractNum>
  <w:abstractNum w:abstractNumId="11" w15:restartNumberingAfterBreak="0">
    <w:nsid w:val="377E10B8"/>
    <w:multiLevelType w:val="hybridMultilevel"/>
    <w:tmpl w:val="42E83028"/>
    <w:lvl w:ilvl="0" w:tplc="0526FE7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7A72FF6"/>
    <w:multiLevelType w:val="hybridMultilevel"/>
    <w:tmpl w:val="35009830"/>
    <w:lvl w:ilvl="0" w:tplc="2ACAE404">
      <w:start w:val="1"/>
      <w:numFmt w:val="taiwaneseCountingThousand"/>
      <w:lvlText w:val="%1、"/>
      <w:lvlJc w:val="left"/>
      <w:pPr>
        <w:tabs>
          <w:tab w:val="num" w:pos="1104"/>
        </w:tabs>
        <w:ind w:left="1104" w:hanging="624"/>
      </w:pPr>
      <w:rPr>
        <w:rFonts w:hint="eastAsia"/>
        <w:color w:val="auto"/>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38850900"/>
    <w:multiLevelType w:val="hybridMultilevel"/>
    <w:tmpl w:val="FA44AA68"/>
    <w:lvl w:ilvl="0" w:tplc="064033A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ED949BE"/>
    <w:multiLevelType w:val="hybridMultilevel"/>
    <w:tmpl w:val="6C7EB6B4"/>
    <w:lvl w:ilvl="0" w:tplc="ED50B27A">
      <w:start w:val="2"/>
      <w:numFmt w:val="taiwaneseCountingThousand"/>
      <w:lvlText w:val="%1、"/>
      <w:lvlJc w:val="left"/>
      <w:pPr>
        <w:tabs>
          <w:tab w:val="num" w:pos="624"/>
        </w:tabs>
        <w:ind w:left="624" w:hanging="624"/>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FDF7FC4"/>
    <w:multiLevelType w:val="hybridMultilevel"/>
    <w:tmpl w:val="9BCA4284"/>
    <w:lvl w:ilvl="0" w:tplc="861A29A0">
      <w:start w:val="1"/>
      <w:numFmt w:val="decimal"/>
      <w:lvlText w:val="（%1）"/>
      <w:lvlJc w:val="left"/>
      <w:pPr>
        <w:tabs>
          <w:tab w:val="num" w:pos="1200"/>
        </w:tabs>
        <w:ind w:left="1200" w:hanging="720"/>
      </w:pPr>
      <w:rPr>
        <w:rFonts w:hint="eastAsia"/>
      </w:rPr>
    </w:lvl>
    <w:lvl w:ilvl="1" w:tplc="E1868C8C">
      <w:start w:val="1"/>
      <w:numFmt w:val="taiwaneseCountingThousand"/>
      <w:lvlText w:val="%2、"/>
      <w:lvlJc w:val="left"/>
      <w:pPr>
        <w:tabs>
          <w:tab w:val="num" w:pos="998"/>
        </w:tabs>
        <w:ind w:left="998" w:hanging="681"/>
      </w:pPr>
      <w:rPr>
        <w:rFonts w:hint="eastAsia"/>
        <w:color w:val="FF0000"/>
      </w:rPr>
    </w:lvl>
    <w:lvl w:ilvl="2" w:tplc="0409000F">
      <w:start w:val="1"/>
      <w:numFmt w:val="decimal"/>
      <w:lvlText w:val="%3."/>
      <w:lvlJc w:val="left"/>
      <w:pPr>
        <w:tabs>
          <w:tab w:val="num" w:pos="1440"/>
        </w:tabs>
        <w:ind w:left="1440" w:hanging="480"/>
      </w:pPr>
    </w:lvl>
    <w:lvl w:ilvl="3" w:tplc="498AAC2C">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8314BB8"/>
    <w:multiLevelType w:val="hybridMultilevel"/>
    <w:tmpl w:val="4664EAB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A684F0B"/>
    <w:multiLevelType w:val="hybridMultilevel"/>
    <w:tmpl w:val="6030714E"/>
    <w:lvl w:ilvl="0" w:tplc="2ACAE404">
      <w:start w:val="1"/>
      <w:numFmt w:val="taiwaneseCountingThousand"/>
      <w:lvlText w:val="%1、"/>
      <w:lvlJc w:val="left"/>
      <w:pPr>
        <w:tabs>
          <w:tab w:val="num" w:pos="624"/>
        </w:tabs>
        <w:ind w:left="624" w:hanging="624"/>
      </w:pPr>
      <w:rPr>
        <w:rFonts w:hint="eastAsia"/>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DA610C0"/>
    <w:multiLevelType w:val="hybridMultilevel"/>
    <w:tmpl w:val="6D722E46"/>
    <w:lvl w:ilvl="0" w:tplc="A9EC60D0">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3C57ECB"/>
    <w:multiLevelType w:val="hybridMultilevel"/>
    <w:tmpl w:val="EFDC5670"/>
    <w:lvl w:ilvl="0" w:tplc="3410A5A4">
      <w:start w:val="1"/>
      <w:numFmt w:val="taiwaneseCountingThousand"/>
      <w:lvlText w:val="%1、"/>
      <w:lvlJc w:val="left"/>
      <w:pPr>
        <w:tabs>
          <w:tab w:val="num" w:pos="1200"/>
        </w:tabs>
        <w:ind w:left="1200" w:hanging="720"/>
      </w:pPr>
      <w:rPr>
        <w:rFonts w:eastAsia="標楷體" w:hint="eastAsia"/>
      </w:rPr>
    </w:lvl>
    <w:lvl w:ilvl="1" w:tplc="9B300258">
      <w:start w:val="1"/>
      <w:numFmt w:val="taiwaneseCountingThousand"/>
      <w:lvlText w:val="（%2）"/>
      <w:lvlJc w:val="left"/>
      <w:pPr>
        <w:tabs>
          <w:tab w:val="num" w:pos="1448"/>
        </w:tabs>
        <w:ind w:left="1448" w:hanging="968"/>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8591C9C"/>
    <w:multiLevelType w:val="hybridMultilevel"/>
    <w:tmpl w:val="BB240256"/>
    <w:lvl w:ilvl="0" w:tplc="C7C41E7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98E688C"/>
    <w:multiLevelType w:val="hybridMultilevel"/>
    <w:tmpl w:val="0BE48FD0"/>
    <w:lvl w:ilvl="0" w:tplc="3410A5A4">
      <w:start w:val="1"/>
      <w:numFmt w:val="taiwaneseCountingThousand"/>
      <w:lvlText w:val="%1、"/>
      <w:lvlJc w:val="left"/>
      <w:pPr>
        <w:tabs>
          <w:tab w:val="num" w:pos="1200"/>
        </w:tabs>
        <w:ind w:left="1200" w:hanging="72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A8F6907"/>
    <w:multiLevelType w:val="hybridMultilevel"/>
    <w:tmpl w:val="E16472AA"/>
    <w:lvl w:ilvl="0" w:tplc="3410A5A4">
      <w:start w:val="1"/>
      <w:numFmt w:val="taiwaneseCountingThousand"/>
      <w:lvlText w:val="%1、"/>
      <w:lvlJc w:val="left"/>
      <w:pPr>
        <w:tabs>
          <w:tab w:val="num" w:pos="1200"/>
        </w:tabs>
        <w:ind w:left="1200" w:hanging="720"/>
      </w:pPr>
      <w:rPr>
        <w:rFonts w:eastAsia="標楷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15:restartNumberingAfterBreak="0">
    <w:nsid w:val="615C51DF"/>
    <w:multiLevelType w:val="hybridMultilevel"/>
    <w:tmpl w:val="592E9C4A"/>
    <w:lvl w:ilvl="0" w:tplc="E3386710">
      <w:start w:val="1"/>
      <w:numFmt w:val="taiwaneseCountingThousand"/>
      <w:lvlText w:val="%1、"/>
      <w:lvlJc w:val="left"/>
      <w:pPr>
        <w:tabs>
          <w:tab w:val="num" w:pos="421"/>
        </w:tabs>
        <w:ind w:left="421" w:hanging="450"/>
      </w:pPr>
      <w:rPr>
        <w:rFonts w:hint="eastAsia"/>
      </w:rPr>
    </w:lvl>
    <w:lvl w:ilvl="1" w:tplc="04090019" w:tentative="1">
      <w:start w:val="1"/>
      <w:numFmt w:val="ideographTraditional"/>
      <w:lvlText w:val="%2、"/>
      <w:lvlJc w:val="left"/>
      <w:pPr>
        <w:tabs>
          <w:tab w:val="num" w:pos="931"/>
        </w:tabs>
        <w:ind w:left="931" w:hanging="480"/>
      </w:pPr>
    </w:lvl>
    <w:lvl w:ilvl="2" w:tplc="0409001B" w:tentative="1">
      <w:start w:val="1"/>
      <w:numFmt w:val="lowerRoman"/>
      <w:lvlText w:val="%3."/>
      <w:lvlJc w:val="right"/>
      <w:pPr>
        <w:tabs>
          <w:tab w:val="num" w:pos="1411"/>
        </w:tabs>
        <w:ind w:left="1411" w:hanging="480"/>
      </w:pPr>
    </w:lvl>
    <w:lvl w:ilvl="3" w:tplc="0409000F" w:tentative="1">
      <w:start w:val="1"/>
      <w:numFmt w:val="decimal"/>
      <w:lvlText w:val="%4."/>
      <w:lvlJc w:val="left"/>
      <w:pPr>
        <w:tabs>
          <w:tab w:val="num" w:pos="1891"/>
        </w:tabs>
        <w:ind w:left="1891" w:hanging="480"/>
      </w:pPr>
    </w:lvl>
    <w:lvl w:ilvl="4" w:tplc="04090019" w:tentative="1">
      <w:start w:val="1"/>
      <w:numFmt w:val="ideographTraditional"/>
      <w:lvlText w:val="%5、"/>
      <w:lvlJc w:val="left"/>
      <w:pPr>
        <w:tabs>
          <w:tab w:val="num" w:pos="2371"/>
        </w:tabs>
        <w:ind w:left="2371" w:hanging="480"/>
      </w:pPr>
    </w:lvl>
    <w:lvl w:ilvl="5" w:tplc="0409001B" w:tentative="1">
      <w:start w:val="1"/>
      <w:numFmt w:val="lowerRoman"/>
      <w:lvlText w:val="%6."/>
      <w:lvlJc w:val="right"/>
      <w:pPr>
        <w:tabs>
          <w:tab w:val="num" w:pos="2851"/>
        </w:tabs>
        <w:ind w:left="2851" w:hanging="480"/>
      </w:pPr>
    </w:lvl>
    <w:lvl w:ilvl="6" w:tplc="0409000F" w:tentative="1">
      <w:start w:val="1"/>
      <w:numFmt w:val="decimal"/>
      <w:lvlText w:val="%7."/>
      <w:lvlJc w:val="left"/>
      <w:pPr>
        <w:tabs>
          <w:tab w:val="num" w:pos="3331"/>
        </w:tabs>
        <w:ind w:left="3331" w:hanging="480"/>
      </w:pPr>
    </w:lvl>
    <w:lvl w:ilvl="7" w:tplc="04090019" w:tentative="1">
      <w:start w:val="1"/>
      <w:numFmt w:val="ideographTraditional"/>
      <w:lvlText w:val="%8、"/>
      <w:lvlJc w:val="left"/>
      <w:pPr>
        <w:tabs>
          <w:tab w:val="num" w:pos="3811"/>
        </w:tabs>
        <w:ind w:left="3811" w:hanging="480"/>
      </w:pPr>
    </w:lvl>
    <w:lvl w:ilvl="8" w:tplc="0409001B" w:tentative="1">
      <w:start w:val="1"/>
      <w:numFmt w:val="lowerRoman"/>
      <w:lvlText w:val="%9."/>
      <w:lvlJc w:val="right"/>
      <w:pPr>
        <w:tabs>
          <w:tab w:val="num" w:pos="4291"/>
        </w:tabs>
        <w:ind w:left="4291" w:hanging="480"/>
      </w:pPr>
    </w:lvl>
  </w:abstractNum>
  <w:abstractNum w:abstractNumId="24" w15:restartNumberingAfterBreak="0">
    <w:nsid w:val="66D36ADE"/>
    <w:multiLevelType w:val="hybridMultilevel"/>
    <w:tmpl w:val="48D2EF70"/>
    <w:lvl w:ilvl="0" w:tplc="1F0EA8D8">
      <w:start w:val="1"/>
      <w:numFmt w:val="taiwaneseCountingThousand"/>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8682170"/>
    <w:multiLevelType w:val="hybridMultilevel"/>
    <w:tmpl w:val="000ADADE"/>
    <w:lvl w:ilvl="0" w:tplc="064033A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B2F3069"/>
    <w:multiLevelType w:val="singleLevel"/>
    <w:tmpl w:val="DF2ADDE6"/>
    <w:lvl w:ilvl="0">
      <w:start w:val="3"/>
      <w:numFmt w:val="taiwaneseCountingThousand"/>
      <w:lvlText w:val="第%1條"/>
      <w:lvlJc w:val="left"/>
      <w:pPr>
        <w:tabs>
          <w:tab w:val="num" w:pos="2052"/>
        </w:tabs>
        <w:ind w:left="2052" w:hanging="1092"/>
      </w:pPr>
      <w:rPr>
        <w:rFonts w:hint="eastAsia"/>
      </w:rPr>
    </w:lvl>
  </w:abstractNum>
  <w:abstractNum w:abstractNumId="27" w15:restartNumberingAfterBreak="0">
    <w:nsid w:val="6B5735D4"/>
    <w:multiLevelType w:val="hybridMultilevel"/>
    <w:tmpl w:val="A282C5BA"/>
    <w:lvl w:ilvl="0" w:tplc="2ACAE404">
      <w:start w:val="1"/>
      <w:numFmt w:val="taiwaneseCountingThousand"/>
      <w:lvlText w:val="%1、"/>
      <w:lvlJc w:val="left"/>
      <w:pPr>
        <w:tabs>
          <w:tab w:val="num" w:pos="624"/>
        </w:tabs>
        <w:ind w:left="624" w:hanging="624"/>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B8517FB"/>
    <w:multiLevelType w:val="hybridMultilevel"/>
    <w:tmpl w:val="4FCCB4EA"/>
    <w:lvl w:ilvl="0" w:tplc="D0CA84E8">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57E24E8"/>
    <w:multiLevelType w:val="hybridMultilevel"/>
    <w:tmpl w:val="E5C410FC"/>
    <w:lvl w:ilvl="0" w:tplc="9140B95E">
      <w:start w:val="1"/>
      <w:numFmt w:val="taiwaneseCountingThousand"/>
      <w:lvlText w:val="%1、"/>
      <w:lvlJc w:val="left"/>
      <w:pPr>
        <w:tabs>
          <w:tab w:val="num" w:pos="480"/>
        </w:tabs>
        <w:ind w:left="480" w:hanging="48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7BC3F83"/>
    <w:multiLevelType w:val="hybridMultilevel"/>
    <w:tmpl w:val="DA2450E8"/>
    <w:lvl w:ilvl="0" w:tplc="2ACAE404">
      <w:start w:val="1"/>
      <w:numFmt w:val="taiwaneseCountingThousand"/>
      <w:lvlText w:val="%1、"/>
      <w:lvlJc w:val="left"/>
      <w:pPr>
        <w:tabs>
          <w:tab w:val="num" w:pos="624"/>
        </w:tabs>
        <w:ind w:left="624" w:hanging="624"/>
      </w:pPr>
      <w:rPr>
        <w:rFonts w:hint="eastAsia"/>
        <w:color w:val="auto"/>
      </w:rPr>
    </w:lvl>
    <w:lvl w:ilvl="1" w:tplc="DEB41EFE">
      <w:start w:val="1"/>
      <w:numFmt w:val="decimal"/>
      <w:lvlText w:val="%2."/>
      <w:lvlJc w:val="left"/>
      <w:pPr>
        <w:tabs>
          <w:tab w:val="num" w:pos="840"/>
        </w:tabs>
        <w:ind w:left="840" w:hanging="360"/>
      </w:pPr>
      <w:rPr>
        <w:rFonts w:hint="eastAsia"/>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8DF4471"/>
    <w:multiLevelType w:val="hybridMultilevel"/>
    <w:tmpl w:val="C67C2F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8FD5348"/>
    <w:multiLevelType w:val="hybridMultilevel"/>
    <w:tmpl w:val="58A667C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DD35C20"/>
    <w:multiLevelType w:val="hybridMultilevel"/>
    <w:tmpl w:val="274CE5F6"/>
    <w:lvl w:ilvl="0" w:tplc="E9342396">
      <w:start w:val="1"/>
      <w:numFmt w:val="taiwaneseCountingThousand"/>
      <w:lvlText w:val="%1、"/>
      <w:lvlJc w:val="left"/>
      <w:pPr>
        <w:tabs>
          <w:tab w:val="num" w:pos="431"/>
        </w:tabs>
        <w:ind w:left="431"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22"/>
  </w:num>
  <w:num w:numId="3">
    <w:abstractNumId w:val="8"/>
  </w:num>
  <w:num w:numId="4">
    <w:abstractNumId w:val="15"/>
  </w:num>
  <w:num w:numId="5">
    <w:abstractNumId w:val="6"/>
  </w:num>
  <w:num w:numId="6">
    <w:abstractNumId w:val="0"/>
  </w:num>
  <w:num w:numId="7">
    <w:abstractNumId w:val="13"/>
  </w:num>
  <w:num w:numId="8">
    <w:abstractNumId w:val="30"/>
  </w:num>
  <w:num w:numId="9">
    <w:abstractNumId w:val="32"/>
  </w:num>
  <w:num w:numId="10">
    <w:abstractNumId w:val="18"/>
  </w:num>
  <w:num w:numId="11">
    <w:abstractNumId w:val="19"/>
  </w:num>
  <w:num w:numId="12">
    <w:abstractNumId w:val="25"/>
  </w:num>
  <w:num w:numId="13">
    <w:abstractNumId w:val="3"/>
  </w:num>
  <w:num w:numId="14">
    <w:abstractNumId w:val="12"/>
  </w:num>
  <w:num w:numId="15">
    <w:abstractNumId w:val="17"/>
  </w:num>
  <w:num w:numId="16">
    <w:abstractNumId w:val="2"/>
  </w:num>
  <w:num w:numId="17">
    <w:abstractNumId w:val="5"/>
  </w:num>
  <w:num w:numId="18">
    <w:abstractNumId w:val="16"/>
  </w:num>
  <w:num w:numId="19">
    <w:abstractNumId w:val="31"/>
  </w:num>
  <w:num w:numId="20">
    <w:abstractNumId w:val="20"/>
  </w:num>
  <w:num w:numId="21">
    <w:abstractNumId w:val="29"/>
  </w:num>
  <w:num w:numId="22">
    <w:abstractNumId w:val="9"/>
  </w:num>
  <w:num w:numId="23">
    <w:abstractNumId w:val="21"/>
  </w:num>
  <w:num w:numId="24">
    <w:abstractNumId w:val="23"/>
  </w:num>
  <w:num w:numId="25">
    <w:abstractNumId w:val="4"/>
  </w:num>
  <w:num w:numId="26">
    <w:abstractNumId w:val="24"/>
  </w:num>
  <w:num w:numId="27">
    <w:abstractNumId w:val="7"/>
  </w:num>
  <w:num w:numId="28">
    <w:abstractNumId w:val="27"/>
  </w:num>
  <w:num w:numId="29">
    <w:abstractNumId w:val="14"/>
  </w:num>
  <w:num w:numId="30">
    <w:abstractNumId w:val="11"/>
  </w:num>
  <w:num w:numId="31">
    <w:abstractNumId w:val="28"/>
  </w:num>
  <w:num w:numId="32">
    <w:abstractNumId w:val="1"/>
  </w:num>
  <w:num w:numId="33">
    <w:abstractNumId w:val="33"/>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EAF"/>
    <w:rsid w:val="000119FC"/>
    <w:rsid w:val="00014890"/>
    <w:rsid w:val="000A74BD"/>
    <w:rsid w:val="000C6785"/>
    <w:rsid w:val="000D5FE5"/>
    <w:rsid w:val="0014758C"/>
    <w:rsid w:val="0016611A"/>
    <w:rsid w:val="00197940"/>
    <w:rsid w:val="001A2325"/>
    <w:rsid w:val="001F0904"/>
    <w:rsid w:val="002123F7"/>
    <w:rsid w:val="00216A07"/>
    <w:rsid w:val="002405D1"/>
    <w:rsid w:val="0025101D"/>
    <w:rsid w:val="002805A7"/>
    <w:rsid w:val="00295B32"/>
    <w:rsid w:val="002B172D"/>
    <w:rsid w:val="002F35FD"/>
    <w:rsid w:val="00347460"/>
    <w:rsid w:val="00374061"/>
    <w:rsid w:val="003860FC"/>
    <w:rsid w:val="0039669B"/>
    <w:rsid w:val="003E357A"/>
    <w:rsid w:val="003E6C99"/>
    <w:rsid w:val="00400804"/>
    <w:rsid w:val="00427226"/>
    <w:rsid w:val="004365FF"/>
    <w:rsid w:val="004615C8"/>
    <w:rsid w:val="004A28BC"/>
    <w:rsid w:val="004C2C14"/>
    <w:rsid w:val="004D10A4"/>
    <w:rsid w:val="004D5D94"/>
    <w:rsid w:val="004E519F"/>
    <w:rsid w:val="0050664A"/>
    <w:rsid w:val="005957BC"/>
    <w:rsid w:val="005A65E5"/>
    <w:rsid w:val="005A6CC6"/>
    <w:rsid w:val="005E5F3C"/>
    <w:rsid w:val="005F029B"/>
    <w:rsid w:val="006241BA"/>
    <w:rsid w:val="00625BFB"/>
    <w:rsid w:val="006644FC"/>
    <w:rsid w:val="006850D0"/>
    <w:rsid w:val="006C3AD2"/>
    <w:rsid w:val="006D49FA"/>
    <w:rsid w:val="00765A3A"/>
    <w:rsid w:val="00767CE8"/>
    <w:rsid w:val="00767FE7"/>
    <w:rsid w:val="007752E4"/>
    <w:rsid w:val="0077692F"/>
    <w:rsid w:val="007934B3"/>
    <w:rsid w:val="007E37D8"/>
    <w:rsid w:val="00813FA6"/>
    <w:rsid w:val="00840C6C"/>
    <w:rsid w:val="00945ECD"/>
    <w:rsid w:val="0098187D"/>
    <w:rsid w:val="009F4E35"/>
    <w:rsid w:val="00A17570"/>
    <w:rsid w:val="00A566A7"/>
    <w:rsid w:val="00AB732E"/>
    <w:rsid w:val="00B12370"/>
    <w:rsid w:val="00B259DD"/>
    <w:rsid w:val="00B508C5"/>
    <w:rsid w:val="00B73EAF"/>
    <w:rsid w:val="00BB4E97"/>
    <w:rsid w:val="00BB4F44"/>
    <w:rsid w:val="00BD1C33"/>
    <w:rsid w:val="00C43D1E"/>
    <w:rsid w:val="00D05757"/>
    <w:rsid w:val="00D2712F"/>
    <w:rsid w:val="00DD6E26"/>
    <w:rsid w:val="00E03969"/>
    <w:rsid w:val="00E23C38"/>
    <w:rsid w:val="00E32A4F"/>
    <w:rsid w:val="00E61FBF"/>
    <w:rsid w:val="00E8676B"/>
    <w:rsid w:val="00E90FFA"/>
    <w:rsid w:val="00E95F56"/>
    <w:rsid w:val="00ED1D88"/>
    <w:rsid w:val="00F0483F"/>
    <w:rsid w:val="00F167DF"/>
    <w:rsid w:val="00F2286C"/>
    <w:rsid w:val="00F90179"/>
    <w:rsid w:val="00FA27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5B437F3-57F8-47D8-A584-B32B1832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paragraph" w:styleId="1">
    <w:name w:val="heading 1"/>
    <w:basedOn w:val="a"/>
    <w:next w:val="a"/>
    <w:qFormat/>
    <w:pPr>
      <w:keepNext/>
      <w:spacing w:before="180" w:after="180" w:line="720" w:lineRule="auto"/>
      <w:outlineLvl w:val="0"/>
    </w:pPr>
    <w:rPr>
      <w:rFonts w:ascii="Arial" w:hAnsi="Arial"/>
      <w:b/>
      <w:bCs/>
      <w:kern w:val="52"/>
      <w:sz w:val="52"/>
      <w:szCs w:val="52"/>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333333"/>
      <w:kern w:val="0"/>
      <w:sz w:val="20"/>
      <w:szCs w:val="20"/>
    </w:rPr>
  </w:style>
  <w:style w:type="paragraph" w:styleId="a3">
    <w:name w:val="Body Text Indent"/>
    <w:basedOn w:val="a"/>
    <w:semiHidden/>
    <w:pPr>
      <w:tabs>
        <w:tab w:val="left" w:pos="960"/>
        <w:tab w:val="left" w:pos="1920"/>
        <w:tab w:val="left" w:pos="2880"/>
        <w:tab w:val="left" w:pos="3840"/>
        <w:tab w:val="left" w:pos="4800"/>
        <w:tab w:val="left" w:pos="5760"/>
        <w:tab w:val="left" w:pos="6720"/>
        <w:tab w:val="left" w:pos="7680"/>
      </w:tabs>
      <w:autoSpaceDE w:val="0"/>
      <w:autoSpaceDN w:val="0"/>
      <w:adjustRightInd w:val="0"/>
      <w:spacing w:before="120" w:after="120" w:line="360" w:lineRule="atLeast"/>
      <w:ind w:left="398" w:hanging="398"/>
      <w:jc w:val="both"/>
      <w:textDirection w:val="lrTbV"/>
      <w:textAlignment w:val="baseline"/>
    </w:pPr>
    <w:rPr>
      <w:rFonts w:ascii="華康楷書體W5(P)" w:eastAsia="華康楷書體W5(P)"/>
      <w:kern w:val="0"/>
      <w:szCs w:val="20"/>
    </w:rPr>
  </w:style>
  <w:style w:type="paragraph" w:styleId="a4">
    <w:name w:val="footer"/>
    <w:basedOn w:val="a"/>
    <w:semiHidden/>
    <w:pPr>
      <w:tabs>
        <w:tab w:val="center" w:pos="4153"/>
        <w:tab w:val="right" w:pos="8306"/>
      </w:tabs>
      <w:snapToGrid w:val="0"/>
    </w:pPr>
    <w:rPr>
      <w:sz w:val="20"/>
      <w:szCs w:val="20"/>
    </w:rPr>
  </w:style>
  <w:style w:type="character" w:styleId="a5">
    <w:name w:val="page number"/>
    <w:basedOn w:val="a0"/>
    <w:semiHidden/>
  </w:style>
  <w:style w:type="paragraph" w:styleId="a6">
    <w:name w:val="header"/>
    <w:basedOn w:val="a"/>
    <w:semiHidden/>
    <w:pPr>
      <w:tabs>
        <w:tab w:val="center" w:pos="4153"/>
        <w:tab w:val="right" w:pos="8306"/>
      </w:tabs>
      <w:snapToGrid w:val="0"/>
    </w:pPr>
    <w:rPr>
      <w:sz w:val="20"/>
      <w:szCs w:val="20"/>
    </w:rPr>
  </w:style>
  <w:style w:type="paragraph" w:styleId="a7">
    <w:name w:val="Body Text"/>
    <w:basedOn w:val="a"/>
    <w:semiHidden/>
    <w:pPr>
      <w:jc w:val="both"/>
    </w:pPr>
    <w:rPr>
      <w:rFonts w:eastAsia="標楷體"/>
      <w:color w:val="000000"/>
    </w:rPr>
  </w:style>
  <w:style w:type="paragraph" w:styleId="20">
    <w:name w:val="Body Text Indent 2"/>
    <w:basedOn w:val="a"/>
    <w:semiHidden/>
    <w:pPr>
      <w:ind w:firstLineChars="200" w:firstLine="480"/>
      <w:jc w:val="both"/>
    </w:pPr>
    <w:rPr>
      <w:rFonts w:ascii="標楷體" w:eastAsia="標楷體" w:hAnsi="標楷體"/>
      <w:color w:val="000000"/>
    </w:rPr>
  </w:style>
  <w:style w:type="paragraph" w:customStyle="1" w:styleId="10">
    <w:name w:val="內文1"/>
    <w:basedOn w:val="a"/>
    <w:pPr>
      <w:snapToGrid w:val="0"/>
      <w:spacing w:line="300" w:lineRule="auto"/>
    </w:pPr>
    <w:rPr>
      <w:rFonts w:eastAsia="標楷體"/>
      <w:sz w:val="28"/>
    </w:rPr>
  </w:style>
  <w:style w:type="paragraph" w:customStyle="1" w:styleId="11">
    <w:name w:val="樣式1"/>
    <w:basedOn w:val="10"/>
    <w:rPr>
      <w:sz w:val="24"/>
    </w:rPr>
  </w:style>
  <w:style w:type="paragraph" w:styleId="3">
    <w:name w:val="Body Text Indent 3"/>
    <w:basedOn w:val="a"/>
    <w:semiHidden/>
    <w:pPr>
      <w:snapToGrid w:val="0"/>
      <w:spacing w:line="300" w:lineRule="auto"/>
      <w:ind w:leftChars="225" w:left="540" w:firstLineChars="300" w:firstLine="721"/>
      <w:jc w:val="both"/>
    </w:pPr>
    <w:rPr>
      <w:rFonts w:ascii="標楷體" w:eastAsia="標楷體" w:hAnsi="標楷體"/>
      <w:b/>
      <w:color w:val="FF0000"/>
      <w:u w:val="single"/>
    </w:rPr>
  </w:style>
  <w:style w:type="paragraph" w:customStyle="1" w:styleId="a8">
    <w:name w:val="分項段落"/>
    <w:basedOn w:val="a"/>
    <w:pPr>
      <w:snapToGrid w:val="0"/>
    </w:pPr>
    <w:rPr>
      <w:rFonts w:eastAsia="標楷體"/>
      <w:sz w:val="32"/>
      <w:szCs w:val="20"/>
    </w:rPr>
  </w:style>
  <w:style w:type="paragraph" w:styleId="a9">
    <w:name w:val="Plain Text"/>
    <w:basedOn w:val="a"/>
    <w:link w:val="aa"/>
    <w:semiHidden/>
    <w:rPr>
      <w:rFonts w:ascii="細明體" w:eastAsia="細明體" w:hAnsi="Courier New"/>
      <w:szCs w:val="20"/>
    </w:rPr>
  </w:style>
  <w:style w:type="paragraph" w:styleId="21">
    <w:name w:val="Body Text 2"/>
    <w:basedOn w:val="a"/>
    <w:semiHidden/>
    <w:pPr>
      <w:jc w:val="both"/>
    </w:pPr>
    <w:rPr>
      <w:rFonts w:ascii="標楷體" w:eastAsia="標楷體" w:hAnsi="標楷體"/>
    </w:rPr>
  </w:style>
  <w:style w:type="paragraph" w:styleId="Web">
    <w:name w:val="Normal (Web)"/>
    <w:basedOn w:val="a"/>
    <w:semiHidden/>
    <w:pPr>
      <w:widowControl/>
      <w:spacing w:before="100" w:beforeAutospacing="1" w:after="100" w:afterAutospacing="1"/>
    </w:pPr>
    <w:rPr>
      <w:rFonts w:ascii="新細明體" w:hAnsi="新細明體"/>
      <w:kern w:val="0"/>
    </w:rPr>
  </w:style>
  <w:style w:type="paragraph" w:styleId="ab">
    <w:name w:val="footnote text"/>
    <w:basedOn w:val="a"/>
    <w:semiHidden/>
    <w:pPr>
      <w:snapToGrid w:val="0"/>
    </w:pPr>
    <w:rPr>
      <w:sz w:val="20"/>
      <w:szCs w:val="20"/>
    </w:rPr>
  </w:style>
  <w:style w:type="character" w:styleId="ac">
    <w:name w:val="footnote reference"/>
    <w:semiHidden/>
    <w:rPr>
      <w:vertAlign w:val="superscript"/>
    </w:rPr>
  </w:style>
  <w:style w:type="paragraph" w:styleId="ad">
    <w:name w:val="Balloon Text"/>
    <w:basedOn w:val="a"/>
    <w:semiHidden/>
    <w:rPr>
      <w:rFonts w:ascii="Arial" w:hAnsi="Arial"/>
      <w:sz w:val="18"/>
      <w:szCs w:val="18"/>
    </w:rPr>
  </w:style>
  <w:style w:type="paragraph" w:styleId="30">
    <w:name w:val="Body Text 3"/>
    <w:basedOn w:val="a"/>
    <w:semiHidden/>
    <w:pPr>
      <w:spacing w:after="120"/>
      <w:jc w:val="both"/>
    </w:pPr>
    <w:rPr>
      <w:rFonts w:eastAsia="標楷體"/>
      <w:b/>
      <w:color w:val="FF0000"/>
      <w:u w:val="single"/>
    </w:rPr>
  </w:style>
  <w:style w:type="character" w:customStyle="1" w:styleId="aa">
    <w:name w:val="純文字 字元"/>
    <w:basedOn w:val="a0"/>
    <w:link w:val="a9"/>
    <w:semiHidden/>
    <w:rsid w:val="006644FC"/>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76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E4136-EA3A-4F2E-8C95-ACCEEE03F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2952</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財團法人中華民國證券櫃檯買賣中心證券商營業處所買賣有價證券業務規則部分條文修正（草案）對照表</dc:title>
  <dc:creator>pc1</dc:creator>
  <cp:lastModifiedBy>陳靜雯</cp:lastModifiedBy>
  <cp:revision>4</cp:revision>
  <cp:lastPrinted>2014-02-17T03:12:00Z</cp:lastPrinted>
  <dcterms:created xsi:type="dcterms:W3CDTF">2019-02-25T06:12:00Z</dcterms:created>
  <dcterms:modified xsi:type="dcterms:W3CDTF">2019-06-27T02:08:00Z</dcterms:modified>
</cp:coreProperties>
</file>